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E3" w:rsidRPr="00D249EE" w:rsidRDefault="009A4AE3" w:rsidP="007C5A36">
      <w:pPr>
        <w:spacing w:after="0"/>
        <w:jc w:val="center"/>
        <w:rPr>
          <w:b/>
          <w:noProof/>
          <w:sz w:val="10"/>
        </w:rPr>
      </w:pPr>
    </w:p>
    <w:p w:rsidR="00C9284A" w:rsidRPr="009A4AE3" w:rsidRDefault="003340C8" w:rsidP="007C5A36">
      <w:pPr>
        <w:spacing w:after="0"/>
        <w:jc w:val="center"/>
        <w:rPr>
          <w:b/>
          <w:sz w:val="72"/>
        </w:rPr>
      </w:pPr>
      <w:r>
        <w:rPr>
          <w:b/>
          <w:noProof/>
          <w:sz w:val="44"/>
        </w:rPr>
        <w:t>Agnes Scott College</w:t>
      </w:r>
    </w:p>
    <w:p w:rsidR="00D020AD" w:rsidRPr="009A4AE3" w:rsidRDefault="00B76073" w:rsidP="00D020AD">
      <w:pPr>
        <w:spacing w:after="0"/>
        <w:jc w:val="center"/>
        <w:rPr>
          <w:rFonts w:cs="Arial"/>
          <w:color w:val="222222"/>
          <w:sz w:val="24"/>
          <w:szCs w:val="20"/>
        </w:rPr>
      </w:pPr>
      <w:r w:rsidRPr="009A4AE3">
        <w:rPr>
          <w:sz w:val="24"/>
          <w:szCs w:val="20"/>
        </w:rPr>
        <w:t>Office of Undergraduate Admissions</w:t>
      </w:r>
      <w:r w:rsidR="007C5A36" w:rsidRPr="009A4AE3">
        <w:rPr>
          <w:sz w:val="24"/>
          <w:szCs w:val="20"/>
          <w:lang w:val="en"/>
        </w:rPr>
        <w:t xml:space="preserve"> </w:t>
      </w:r>
      <w:r w:rsidR="00067C8E" w:rsidRPr="009A4AE3">
        <w:rPr>
          <w:sz w:val="24"/>
          <w:szCs w:val="20"/>
          <w:lang w:val="en"/>
        </w:rPr>
        <w:t xml:space="preserve">| </w:t>
      </w:r>
      <w:r w:rsidR="003340C8">
        <w:rPr>
          <w:sz w:val="24"/>
          <w:szCs w:val="20"/>
          <w:lang w:val="en"/>
        </w:rPr>
        <w:t>141 E College Ave</w:t>
      </w:r>
      <w:r w:rsidR="00D020AD" w:rsidRPr="009A4AE3">
        <w:rPr>
          <w:sz w:val="24"/>
          <w:szCs w:val="20"/>
          <w:lang w:val="en"/>
        </w:rPr>
        <w:t xml:space="preserve"> | </w:t>
      </w:r>
      <w:r w:rsidR="003340C8">
        <w:rPr>
          <w:sz w:val="24"/>
          <w:szCs w:val="20"/>
          <w:lang w:val="en"/>
        </w:rPr>
        <w:t>Decatur, GA 30030</w:t>
      </w:r>
      <w:r w:rsidR="00D020AD" w:rsidRPr="009A4AE3">
        <w:rPr>
          <w:rFonts w:cs="Arial"/>
          <w:color w:val="222222"/>
          <w:sz w:val="24"/>
          <w:szCs w:val="20"/>
        </w:rPr>
        <w:t xml:space="preserve"> | </w:t>
      </w:r>
      <w:r w:rsidR="00067C8E" w:rsidRPr="009A4AE3">
        <w:rPr>
          <w:rFonts w:cs="Arial"/>
          <w:color w:val="222222"/>
          <w:sz w:val="24"/>
          <w:szCs w:val="20"/>
        </w:rPr>
        <w:t>Phone: (</w:t>
      </w:r>
      <w:r w:rsidR="003340C8">
        <w:rPr>
          <w:rFonts w:cs="Arial"/>
          <w:color w:val="222222"/>
          <w:sz w:val="24"/>
          <w:szCs w:val="20"/>
        </w:rPr>
        <w:t>404) 471-6285</w:t>
      </w:r>
    </w:p>
    <w:p w:rsidR="002562DC" w:rsidRDefault="002562DC" w:rsidP="00D020AD">
      <w:pPr>
        <w:spacing w:after="0"/>
        <w:rPr>
          <w:rFonts w:cs="Arial"/>
          <w:b/>
          <w:color w:val="222222"/>
          <w:sz w:val="28"/>
          <w:szCs w:val="15"/>
        </w:rPr>
      </w:pPr>
    </w:p>
    <w:p w:rsidR="00B76073" w:rsidRPr="001D0134" w:rsidRDefault="00B76073" w:rsidP="00D020AD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1980"/>
        <w:gridCol w:w="3600"/>
        <w:gridCol w:w="967"/>
        <w:gridCol w:w="4793"/>
      </w:tblGrid>
      <w:tr w:rsidR="00B76073" w:rsidRPr="00BD03FE" w:rsidTr="000E23B7">
        <w:trPr>
          <w:trHeight w:val="611"/>
        </w:trPr>
        <w:tc>
          <w:tcPr>
            <w:tcW w:w="1980" w:type="dxa"/>
          </w:tcPr>
          <w:p w:rsidR="00B76073" w:rsidRDefault="00B76073" w:rsidP="00B76073">
            <w:r w:rsidRPr="001D0134">
              <w:t>GPA</w:t>
            </w:r>
          </w:p>
          <w:p w:rsidR="000619D6" w:rsidRPr="00BD03FE" w:rsidRDefault="000619D6" w:rsidP="00B76073">
            <w:pPr>
              <w:rPr>
                <w:sz w:val="28"/>
              </w:rPr>
            </w:pPr>
          </w:p>
        </w:tc>
        <w:tc>
          <w:tcPr>
            <w:tcW w:w="9360" w:type="dxa"/>
            <w:gridSpan w:val="3"/>
          </w:tcPr>
          <w:p w:rsidR="00AD4ADB" w:rsidRDefault="000E23B7" w:rsidP="00650E30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 xml:space="preserve">Minimum </w:t>
            </w:r>
            <w:r w:rsidR="003340C8">
              <w:rPr>
                <w:sz w:val="20"/>
                <w:lang w:val="en"/>
              </w:rPr>
              <w:t>GPA 3.0</w:t>
            </w:r>
            <w:r>
              <w:rPr>
                <w:sz w:val="20"/>
                <w:lang w:val="en"/>
              </w:rPr>
              <w:t xml:space="preserve">            </w:t>
            </w:r>
          </w:p>
          <w:p w:rsidR="000E23B7" w:rsidRPr="00AD4ADB" w:rsidRDefault="003340C8" w:rsidP="00650E30">
            <w:pPr>
              <w:rPr>
                <w:sz w:val="28"/>
              </w:rPr>
            </w:pPr>
            <w:r>
              <w:rPr>
                <w:sz w:val="20"/>
                <w:lang w:val="en"/>
              </w:rPr>
              <w:t xml:space="preserve">Average  GPA for admitted students:  </w:t>
            </w:r>
            <w:r w:rsidR="00DE41F1">
              <w:rPr>
                <w:sz w:val="20"/>
                <w:lang w:val="en"/>
              </w:rPr>
              <w:t>3.5 – 3.7</w:t>
            </w:r>
          </w:p>
        </w:tc>
      </w:tr>
      <w:tr w:rsidR="00CD6B80" w:rsidRPr="00BD03FE" w:rsidTr="00DE41F1">
        <w:trPr>
          <w:trHeight w:val="1133"/>
        </w:trPr>
        <w:tc>
          <w:tcPr>
            <w:tcW w:w="1980" w:type="dxa"/>
          </w:tcPr>
          <w:p w:rsidR="00CD6B80" w:rsidRDefault="00CD6B80" w:rsidP="00413A91">
            <w:r>
              <w:t>ACT/SAT  Requirements</w:t>
            </w:r>
          </w:p>
          <w:p w:rsidR="00CD6B80" w:rsidRPr="002D3FE2" w:rsidRDefault="00175604" w:rsidP="00DE41F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*Average based on </w:t>
            </w:r>
            <w:r w:rsidR="00DE41F1">
              <w:rPr>
                <w:i/>
                <w:sz w:val="18"/>
              </w:rPr>
              <w:t>2020-2021</w:t>
            </w:r>
          </w:p>
        </w:tc>
        <w:tc>
          <w:tcPr>
            <w:tcW w:w="4567" w:type="dxa"/>
            <w:gridSpan w:val="2"/>
          </w:tcPr>
          <w:p w:rsidR="00580871" w:rsidRPr="000619D6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  <w:t>ACT</w:t>
            </w:r>
          </w:p>
          <w:p w:rsidR="00CD6B80" w:rsidRDefault="00DE41F1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Average Composite:  24-29</w:t>
            </w:r>
          </w:p>
          <w:p w:rsidR="00DE41F1" w:rsidRDefault="00DE41F1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Average Evidenced Base Reading &amp; Writing: 24-29</w:t>
            </w:r>
          </w:p>
          <w:p w:rsidR="00DE41F1" w:rsidRPr="00580871" w:rsidRDefault="00DE41F1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Average Math:  24-29</w:t>
            </w:r>
          </w:p>
        </w:tc>
        <w:tc>
          <w:tcPr>
            <w:tcW w:w="4793" w:type="dxa"/>
          </w:tcPr>
          <w:p w:rsidR="00580871" w:rsidRPr="000619D6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  <w:t>SAT</w:t>
            </w:r>
          </w:p>
          <w:p w:rsidR="009A4AE3" w:rsidRDefault="00DE41F1" w:rsidP="00F439DB">
            <w:pPr>
              <w:pStyle w:val="NormalWeb"/>
              <w:spacing w:after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Average Composite:  1130 – 1340</w:t>
            </w:r>
          </w:p>
          <w:p w:rsidR="00DE41F1" w:rsidRDefault="00DE41F1" w:rsidP="00F439DB">
            <w:pPr>
              <w:pStyle w:val="NormalWeb"/>
              <w:spacing w:after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Average Evidenced Base Reading &amp; Writing: 590-690</w:t>
            </w:r>
          </w:p>
          <w:p w:rsidR="00650E30" w:rsidRPr="00F439DB" w:rsidRDefault="00DE41F1" w:rsidP="00580871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>Average Math:  540-650</w:t>
            </w:r>
          </w:p>
        </w:tc>
      </w:tr>
      <w:tr w:rsidR="00413A91" w:rsidRPr="00BD03FE" w:rsidTr="000E23B7">
        <w:trPr>
          <w:trHeight w:val="260"/>
        </w:trPr>
        <w:tc>
          <w:tcPr>
            <w:tcW w:w="1980" w:type="dxa"/>
          </w:tcPr>
          <w:p w:rsidR="00413A91" w:rsidRPr="00BD03FE" w:rsidRDefault="000E23B7" w:rsidP="004404A5">
            <w:pPr>
              <w:rPr>
                <w:sz w:val="28"/>
              </w:rPr>
            </w:pPr>
            <w:r w:rsidRPr="000E23B7">
              <w:t>AP courses</w:t>
            </w:r>
          </w:p>
        </w:tc>
        <w:tc>
          <w:tcPr>
            <w:tcW w:w="9360" w:type="dxa"/>
            <w:gridSpan w:val="3"/>
          </w:tcPr>
          <w:p w:rsidR="00072AE3" w:rsidRPr="00BA6381" w:rsidRDefault="000E23B7" w:rsidP="00F439DB">
            <w:pPr>
              <w:spacing w:before="100" w:beforeAutospacing="1"/>
              <w:rPr>
                <w:rFonts w:eastAsia="Times New Roman" w:cs="Times New Roman"/>
                <w:sz w:val="20"/>
                <w:szCs w:val="24"/>
              </w:rPr>
            </w:pPr>
            <w:r w:rsidRPr="00BA6381">
              <w:rPr>
                <w:rFonts w:eastAsia="Times New Roman" w:cs="Times New Roman"/>
                <w:sz w:val="20"/>
                <w:szCs w:val="24"/>
              </w:rPr>
              <w:t>Not required for admissions.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D6024D" w:rsidP="0094794C">
            <w:r>
              <w:t>#</w:t>
            </w:r>
            <w:r w:rsidR="00BD03FE" w:rsidRPr="001D0134">
              <w:t xml:space="preserve">of </w:t>
            </w:r>
            <w:r w:rsidR="0094794C" w:rsidRPr="001D0134">
              <w:t>Applicants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DE41F1">
            <w:r w:rsidRPr="001D0134">
              <w:t>*</w:t>
            </w:r>
            <w:r w:rsidR="00DE41F1">
              <w:t>1751</w:t>
            </w:r>
          </w:p>
        </w:tc>
      </w:tr>
      <w:tr w:rsidR="00B76073" w:rsidRPr="00BD03FE" w:rsidTr="00195050">
        <w:trPr>
          <w:trHeight w:val="265"/>
        </w:trPr>
        <w:tc>
          <w:tcPr>
            <w:tcW w:w="1980" w:type="dxa"/>
          </w:tcPr>
          <w:p w:rsidR="00B76073" w:rsidRPr="001D0134" w:rsidRDefault="00D6024D" w:rsidP="00B76073">
            <w:r>
              <w:t>#</w:t>
            </w:r>
            <w:r w:rsidR="0094794C" w:rsidRPr="001D0134">
              <w:t xml:space="preserve"> Admitted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BA6381">
            <w:r w:rsidRPr="001D0134">
              <w:t>*</w:t>
            </w:r>
            <w:r w:rsidR="00DE41F1">
              <w:t>1135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94794C" w:rsidP="00B76073">
            <w:r w:rsidRPr="001D0134">
              <w:t>Acceptance Rate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BA6381">
            <w:pPr>
              <w:tabs>
                <w:tab w:val="left" w:pos="1410"/>
              </w:tabs>
            </w:pPr>
            <w:r w:rsidRPr="001D0134">
              <w:t>*</w:t>
            </w:r>
            <w:r w:rsidR="00DE41F1">
              <w:t>64%</w:t>
            </w:r>
            <w:r w:rsidR="00E378CA" w:rsidRPr="001D0134">
              <w:tab/>
            </w:r>
          </w:p>
        </w:tc>
      </w:tr>
      <w:tr w:rsidR="003F21C7" w:rsidRPr="00BD03FE" w:rsidTr="009C6989">
        <w:trPr>
          <w:trHeight w:val="1565"/>
        </w:trPr>
        <w:tc>
          <w:tcPr>
            <w:tcW w:w="1980" w:type="dxa"/>
          </w:tcPr>
          <w:p w:rsidR="003F21C7" w:rsidRPr="00BD03FE" w:rsidRDefault="003F21C7" w:rsidP="00E378CA">
            <w:pPr>
              <w:rPr>
                <w:sz w:val="28"/>
              </w:rPr>
            </w:pPr>
            <w:r w:rsidRPr="001D0134">
              <w:t>Average Yearly Cost of Attendance (COA)</w:t>
            </w:r>
          </w:p>
        </w:tc>
        <w:tc>
          <w:tcPr>
            <w:tcW w:w="3600" w:type="dxa"/>
          </w:tcPr>
          <w:p w:rsidR="00DE41F1" w:rsidRPr="00DE41F1" w:rsidRDefault="00DE41F1">
            <w:pPr>
              <w:rPr>
                <w:sz w:val="4"/>
              </w:rPr>
            </w:pPr>
          </w:p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1953"/>
              <w:gridCol w:w="1413"/>
            </w:tblGrid>
            <w:tr w:rsidR="003F21C7" w:rsidRPr="000A2E73" w:rsidTr="00DE41F1">
              <w:trPr>
                <w:trHeight w:val="237"/>
              </w:trPr>
              <w:tc>
                <w:tcPr>
                  <w:tcW w:w="1953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76399F">
                    <w:rPr>
                      <w:sz w:val="20"/>
                    </w:rPr>
                    <w:t xml:space="preserve"> and Fees</w:t>
                  </w:r>
                </w:p>
              </w:tc>
              <w:tc>
                <w:tcPr>
                  <w:tcW w:w="1413" w:type="dxa"/>
                </w:tcPr>
                <w:p w:rsidR="00DE41F1" w:rsidRPr="000A2E73" w:rsidRDefault="003F21C7" w:rsidP="00DE41F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DE41F1">
                    <w:rPr>
                      <w:sz w:val="20"/>
                    </w:rPr>
                    <w:t>44,250</w:t>
                  </w:r>
                </w:p>
              </w:tc>
            </w:tr>
            <w:tr w:rsidR="003F21C7" w:rsidRPr="000A2E73" w:rsidTr="00DE41F1">
              <w:trPr>
                <w:trHeight w:val="237"/>
              </w:trPr>
              <w:tc>
                <w:tcPr>
                  <w:tcW w:w="1953" w:type="dxa"/>
                </w:tcPr>
                <w:p w:rsidR="003F21C7" w:rsidRPr="000A2E73" w:rsidRDefault="00DE41F1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Room and Board</w:t>
                  </w:r>
                </w:p>
              </w:tc>
              <w:tc>
                <w:tcPr>
                  <w:tcW w:w="1413" w:type="dxa"/>
                </w:tcPr>
                <w:p w:rsidR="003F21C7" w:rsidRPr="000A2E73" w:rsidRDefault="003F21C7" w:rsidP="00BA638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DE41F1">
                    <w:rPr>
                      <w:sz w:val="20"/>
                    </w:rPr>
                    <w:t>13,050</w:t>
                  </w:r>
                </w:p>
              </w:tc>
            </w:tr>
            <w:tr w:rsidR="003F21C7" w:rsidRPr="000A2E73" w:rsidTr="00DE41F1">
              <w:trPr>
                <w:trHeight w:val="237"/>
              </w:trPr>
              <w:tc>
                <w:tcPr>
                  <w:tcW w:w="1953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Book/Supplies</w:t>
                  </w:r>
                </w:p>
              </w:tc>
              <w:tc>
                <w:tcPr>
                  <w:tcW w:w="1413" w:type="dxa"/>
                </w:tcPr>
                <w:p w:rsidR="003F21C7" w:rsidRPr="000A2E73" w:rsidRDefault="004404A5" w:rsidP="00DE41F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DE41F1">
                    <w:rPr>
                      <w:sz w:val="20"/>
                    </w:rPr>
                    <w:t>1,000</w:t>
                  </w:r>
                </w:p>
              </w:tc>
            </w:tr>
            <w:tr w:rsidR="00DE41F1" w:rsidRPr="000A2E73" w:rsidTr="00DE41F1">
              <w:trPr>
                <w:trHeight w:val="250"/>
              </w:trPr>
              <w:tc>
                <w:tcPr>
                  <w:tcW w:w="1953" w:type="dxa"/>
                </w:tcPr>
                <w:p w:rsidR="00DE41F1" w:rsidRPr="000A2E73" w:rsidRDefault="00DE41F1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413" w:type="dxa"/>
                </w:tcPr>
                <w:p w:rsidR="00DE41F1" w:rsidRDefault="00DE41F1" w:rsidP="00DE41F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</w:p>
              </w:tc>
            </w:tr>
            <w:tr w:rsidR="003F21C7" w:rsidRPr="000A2E73" w:rsidTr="00DE41F1">
              <w:trPr>
                <w:trHeight w:val="250"/>
              </w:trPr>
              <w:tc>
                <w:tcPr>
                  <w:tcW w:w="1953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1413" w:type="dxa"/>
                </w:tcPr>
                <w:p w:rsidR="003F21C7" w:rsidRPr="000A2E73" w:rsidRDefault="004404A5" w:rsidP="00DE41F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DE41F1">
                    <w:rPr>
                      <w:sz w:val="20"/>
                    </w:rPr>
                    <w:t>58,300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5760" w:type="dxa"/>
            <w:gridSpan w:val="2"/>
          </w:tcPr>
          <w:p w:rsidR="003F21C7" w:rsidRPr="0007515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0A2E73">
              <w:rPr>
                <w:color w:val="000000"/>
                <w:sz w:val="18"/>
                <w:szCs w:val="20"/>
                <w:lang w:val="en"/>
              </w:rPr>
              <w:t xml:space="preserve">This is a </w:t>
            </w:r>
            <w:r w:rsidR="00DE41F1">
              <w:rPr>
                <w:color w:val="000000"/>
                <w:sz w:val="18"/>
                <w:szCs w:val="20"/>
                <w:lang w:val="en"/>
              </w:rPr>
              <w:t>2020-2021</w:t>
            </w:r>
            <w:r w:rsidRPr="000A2E73">
              <w:rPr>
                <w:color w:val="000000"/>
                <w:sz w:val="18"/>
                <w:szCs w:val="20"/>
                <w:lang w:val="en"/>
              </w:rPr>
              <w:t xml:space="preserve"> COA table for First-Year Undergraduate and </w:t>
            </w:r>
            <w:r w:rsidRPr="000A2E73">
              <w:rPr>
                <w:sz w:val="18"/>
                <w:szCs w:val="20"/>
              </w:rPr>
              <w:t>assumes full-time enrollment (at least 12</w:t>
            </w:r>
            <w:r w:rsidR="00BD03FE" w:rsidRPr="000A2E73">
              <w:rPr>
                <w:sz w:val="18"/>
                <w:szCs w:val="20"/>
              </w:rPr>
              <w:t xml:space="preserve"> </w:t>
            </w:r>
            <w:r w:rsidRPr="000A2E73">
              <w:rPr>
                <w:sz w:val="18"/>
                <w:szCs w:val="20"/>
              </w:rPr>
              <w:t xml:space="preserve"> course credits in a given semester)</w:t>
            </w:r>
          </w:p>
          <w:p w:rsidR="00075151" w:rsidRPr="00470486" w:rsidRDefault="0007515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Figures assume an average room and board and books/supplies cost.</w:t>
            </w:r>
          </w:p>
          <w:p w:rsidR="00470486" w:rsidRPr="00075151" w:rsidRDefault="00470486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Does not include other miscellaneous expenses</w:t>
            </w:r>
          </w:p>
          <w:p w:rsidR="00075151" w:rsidRPr="000A2E73" w:rsidRDefault="002562DC" w:rsidP="002562DC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Visit: </w:t>
            </w:r>
            <w:r w:rsidRPr="002562DC">
              <w:rPr>
                <w:color w:val="0000FF"/>
                <w:sz w:val="20"/>
                <w:u w:val="single"/>
              </w:rPr>
              <w:t>https://www.agnesscott.edu/admission/cost/index.html</w:t>
            </w:r>
            <w:r w:rsidRPr="002562DC">
              <w:rPr>
                <w:color w:val="0000FF"/>
                <w:sz w:val="18"/>
                <w:u w:val="single"/>
              </w:rPr>
              <w:t xml:space="preserve"> </w:t>
            </w:r>
            <w:r>
              <w:rPr>
                <w:color w:val="0000FF"/>
                <w:sz w:val="20"/>
                <w:u w:val="single"/>
              </w:rPr>
              <w:t xml:space="preserve"> </w:t>
            </w:r>
          </w:p>
        </w:tc>
      </w:tr>
    </w:tbl>
    <w:p w:rsidR="009A4AE3" w:rsidRDefault="009A4AE3" w:rsidP="00B76073">
      <w:pPr>
        <w:spacing w:after="0"/>
        <w:rPr>
          <w:b/>
          <w:sz w:val="28"/>
          <w:u w:val="single"/>
        </w:rPr>
      </w:pPr>
    </w:p>
    <w:p w:rsidR="001E77A3" w:rsidRPr="00DE41F1" w:rsidRDefault="00DE41F1" w:rsidP="00DE41F1">
      <w:pPr>
        <w:spacing w:after="0"/>
        <w:rPr>
          <w:i/>
          <w:sz w:val="20"/>
        </w:rPr>
      </w:pPr>
      <w:r>
        <w:rPr>
          <w:b/>
          <w:sz w:val="28"/>
          <w:u w:val="single"/>
        </w:rPr>
        <w:t>Undergraduate Fields of Study</w:t>
      </w:r>
      <w:r>
        <w:rPr>
          <w:sz w:val="28"/>
        </w:rPr>
        <w:t xml:space="preserve"> </w:t>
      </w:r>
      <w:r>
        <w:t>Form more information visit</w:t>
      </w:r>
      <w:r w:rsidRPr="00DE41F1">
        <w:rPr>
          <w:sz w:val="18"/>
        </w:rPr>
        <w:t>:</w:t>
      </w:r>
      <w:r w:rsidRPr="00DE41F1">
        <w:t xml:space="preserve"> </w:t>
      </w:r>
      <w:hyperlink r:id="rId8" w:history="1">
        <w:r w:rsidRPr="00DE41F1">
          <w:rPr>
            <w:color w:val="0000FF"/>
            <w:u w:val="single"/>
          </w:rPr>
          <w:t>https://www.agnesscott.edu/academics/majors-minors/index.html</w:t>
        </w:r>
      </w:hyperlink>
    </w:p>
    <w:p w:rsidR="00D249EE" w:rsidRDefault="00D249EE" w:rsidP="00BC1546">
      <w:pPr>
        <w:tabs>
          <w:tab w:val="left" w:pos="1410"/>
        </w:tabs>
        <w:rPr>
          <w:color w:val="000000"/>
          <w:sz w:val="16"/>
          <w:szCs w:val="20"/>
          <w:lang w:val="en"/>
        </w:rPr>
      </w:pPr>
    </w:p>
    <w:p w:rsidR="00DE41F1" w:rsidRPr="000A2E73" w:rsidRDefault="00DE41F1" w:rsidP="00BC1546">
      <w:pPr>
        <w:tabs>
          <w:tab w:val="left" w:pos="1410"/>
        </w:tabs>
        <w:rPr>
          <w:color w:val="000000"/>
          <w:sz w:val="16"/>
          <w:szCs w:val="20"/>
          <w:lang w:val="en"/>
        </w:rPr>
        <w:sectPr w:rsidR="00DE41F1" w:rsidRPr="000A2E73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</w:p>
    <w:p w:rsidR="00D60602" w:rsidRDefault="00DE41F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African Studies</w:t>
      </w:r>
    </w:p>
    <w:p w:rsidR="00DE41F1" w:rsidRDefault="002562DC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Anthropology (See Sociology &amp; Anthropology)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(Art History)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Astrophysics 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Biochemistry &amp; Molecular Biology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Biology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Management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Classical Civilizations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Classical Languages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Science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Dance Eco9nomics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Engineering (Dual Degree)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Literature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Literature (Creative Writing)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French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German Studies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Relations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 (Economics)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 (Physics)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Neuroscience 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Nursing (Dual Degree)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Philosophy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Political Science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]Psychology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Health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Religion and Social Justice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Religious Studies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Sociology &amp; Anthropology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Spanish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Student-Designed Major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Theatre</w:t>
      </w:r>
    </w:p>
    <w:p w:rsidR="002562DC" w:rsidRDefault="002562DC" w:rsidP="002562D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Women’s, Gender and Sexuality Studies</w:t>
      </w:r>
    </w:p>
    <w:p w:rsidR="001E77A3" w:rsidRDefault="001E77A3" w:rsidP="002562DC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2562DC" w:rsidRPr="002562DC" w:rsidRDefault="002562DC" w:rsidP="002562DC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  <w:sectPr w:rsidR="002562DC" w:rsidRPr="002562DC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2562DC">
        <w:rPr>
          <w:b/>
          <w:color w:val="000000"/>
          <w:sz w:val="16"/>
          <w:szCs w:val="20"/>
          <w:u w:val="single"/>
          <w:lang w:val="en"/>
        </w:rPr>
        <w:t>NOTE:</w:t>
      </w:r>
      <w:r>
        <w:rPr>
          <w:color w:val="000000"/>
          <w:sz w:val="16"/>
          <w:szCs w:val="20"/>
          <w:lang w:val="en"/>
        </w:rPr>
        <w:t xml:space="preserve">    Agnes Scott College offers several minors as well. </w:t>
      </w:r>
    </w:p>
    <w:p w:rsidR="009A4AE3" w:rsidRDefault="009A4AE3" w:rsidP="00B76073">
      <w:pPr>
        <w:spacing w:after="0"/>
        <w:rPr>
          <w:b/>
          <w:i/>
        </w:rPr>
      </w:pPr>
    </w:p>
    <w:p w:rsidR="006F5190" w:rsidRPr="00A241E0" w:rsidRDefault="00BD03FE" w:rsidP="00B76073">
      <w:pPr>
        <w:spacing w:after="0"/>
        <w:rPr>
          <w:b/>
        </w:rPr>
      </w:pPr>
      <w:r w:rsidRPr="00D02ECD">
        <w:rPr>
          <w:b/>
          <w:i/>
        </w:rPr>
        <w:t xml:space="preserve">For more information, </w:t>
      </w:r>
      <w:r w:rsidR="009C6989">
        <w:rPr>
          <w:b/>
          <w:i/>
        </w:rPr>
        <w:t xml:space="preserve">visit </w:t>
      </w:r>
      <w:hyperlink r:id="rId9" w:history="1">
        <w:r w:rsidR="002562DC" w:rsidRPr="002562DC">
          <w:rPr>
            <w:color w:val="0000FF"/>
            <w:u w:val="single"/>
          </w:rPr>
          <w:t>https://www.agnesscott.edu/admission/index.html</w:t>
        </w:r>
      </w:hyperlink>
    </w:p>
    <w:p w:rsidR="002562DC" w:rsidRDefault="002562DC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</w:p>
    <w:p w:rsidR="006F5190" w:rsidRPr="00D02ECD" w:rsidRDefault="006F519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  <w:r w:rsidRPr="00D02ECD">
        <w:rPr>
          <w:rFonts w:ascii="Arial" w:hAnsi="Arial" w:cs="Arial"/>
          <w:b/>
          <w:color w:val="222222"/>
          <w:sz w:val="16"/>
          <w:szCs w:val="18"/>
          <w:u w:val="single"/>
        </w:rPr>
        <w:t>Key:</w:t>
      </w:r>
    </w:p>
    <w:p w:rsidR="009A4AE3" w:rsidRDefault="009A4AE3" w:rsidP="00F439DB">
      <w:pPr>
        <w:pStyle w:val="Footer"/>
        <w:rPr>
          <w:rFonts w:ascii="Arial" w:hAnsi="Arial" w:cs="Arial"/>
          <w:color w:val="222222"/>
          <w:sz w:val="16"/>
          <w:szCs w:val="18"/>
        </w:rPr>
      </w:pPr>
    </w:p>
    <w:p w:rsidR="001D0134" w:rsidRDefault="006F5190" w:rsidP="00F439DB">
      <w:pPr>
        <w:pStyle w:val="Footer"/>
        <w:rPr>
          <w:sz w:val="20"/>
        </w:rPr>
      </w:pPr>
      <w:r w:rsidRPr="001D0134">
        <w:rPr>
          <w:rFonts w:ascii="Arial" w:hAnsi="Arial" w:cs="Arial"/>
          <w:color w:val="222222"/>
          <w:sz w:val="16"/>
          <w:szCs w:val="18"/>
        </w:rPr>
        <w:t>*</w:t>
      </w:r>
      <w:r w:rsidRPr="001D0134">
        <w:rPr>
          <w:sz w:val="20"/>
        </w:rPr>
        <w:t xml:space="preserve"> Statistics calculated and provided by</w:t>
      </w:r>
      <w:r w:rsidR="00175604">
        <w:rPr>
          <w:sz w:val="20"/>
        </w:rPr>
        <w:t xml:space="preserve"> </w:t>
      </w:r>
      <w:r w:rsidR="002562DC">
        <w:rPr>
          <w:sz w:val="20"/>
        </w:rPr>
        <w:t>BigFuture.com</w:t>
      </w:r>
      <w:r w:rsidR="00175604">
        <w:rPr>
          <w:sz w:val="20"/>
        </w:rPr>
        <w:t xml:space="preserve"> based on the </w:t>
      </w:r>
      <w:r w:rsidR="002562DC">
        <w:rPr>
          <w:sz w:val="20"/>
        </w:rPr>
        <w:t>2020-2021</w:t>
      </w:r>
      <w:r w:rsidRPr="001D0134">
        <w:rPr>
          <w:sz w:val="20"/>
        </w:rPr>
        <w:t xml:space="preserve"> Application Year</w:t>
      </w:r>
    </w:p>
    <w:p w:rsidR="00F439DB" w:rsidRDefault="002562DC" w:rsidP="00F439DB">
      <w:pPr>
        <w:pStyle w:val="Footer"/>
        <w:rPr>
          <w:sz w:val="20"/>
        </w:rPr>
      </w:pPr>
      <w:r>
        <w:rPr>
          <w:sz w:val="20"/>
        </w:rPr>
        <w:t>*</w:t>
      </w:r>
      <w:r w:rsidR="00F439DB">
        <w:rPr>
          <w:sz w:val="20"/>
        </w:rPr>
        <w:t xml:space="preserve">Statistics and statements taken directly from </w:t>
      </w:r>
      <w:r w:rsidR="009A4AE3">
        <w:rPr>
          <w:sz w:val="20"/>
        </w:rPr>
        <w:t>Andrew College</w:t>
      </w:r>
      <w:r w:rsidR="00F439DB">
        <w:rPr>
          <w:sz w:val="20"/>
        </w:rPr>
        <w:t xml:space="preserve"> admissions website</w:t>
      </w:r>
      <w:r>
        <w:rPr>
          <w:sz w:val="20"/>
        </w:rPr>
        <w:t xml:space="preserve"> </w:t>
      </w:r>
    </w:p>
    <w:p w:rsidR="00D60602" w:rsidRDefault="00D60602" w:rsidP="00D60602">
      <w:pPr>
        <w:pStyle w:val="Footer"/>
        <w:pBdr>
          <w:bottom w:val="single" w:sz="12" w:space="1" w:color="auto"/>
        </w:pBdr>
        <w:rPr>
          <w:rFonts w:ascii="Arial" w:hAnsi="Arial" w:cs="Arial"/>
          <w:color w:val="222222"/>
          <w:sz w:val="16"/>
          <w:szCs w:val="18"/>
        </w:rPr>
      </w:pPr>
    </w:p>
    <w:p w:rsidR="00D60602" w:rsidRDefault="00D60602" w:rsidP="00D020AD">
      <w:pPr>
        <w:pStyle w:val="Footer"/>
        <w:rPr>
          <w:sz w:val="20"/>
        </w:rPr>
      </w:pPr>
    </w:p>
    <w:p w:rsidR="006F5190" w:rsidRPr="00D020AD" w:rsidRDefault="00BD03FE" w:rsidP="001D0134">
      <w:pPr>
        <w:pStyle w:val="Footer"/>
        <w:rPr>
          <w:sz w:val="20"/>
        </w:rPr>
      </w:pPr>
      <w:r w:rsidRPr="00D02ECD">
        <w:rPr>
          <w:b/>
          <w:sz w:val="16"/>
        </w:rPr>
        <w:t xml:space="preserve">Precautionary Statement:  </w:t>
      </w:r>
      <w:r w:rsidRPr="00BC1546">
        <w:rPr>
          <w:sz w:val="16"/>
        </w:rPr>
        <w:t>Though the Grayson High School College and Career Center aims to provide accurate and up to date college admissions information, we understand that</w:t>
      </w:r>
      <w:r w:rsidR="00050693" w:rsidRPr="00BC1546">
        <w:rPr>
          <w:sz w:val="16"/>
        </w:rPr>
        <w:t xml:space="preserve"> the presented</w:t>
      </w:r>
      <w:r w:rsidRPr="00BC1546">
        <w:rPr>
          <w:sz w:val="16"/>
        </w:rPr>
        <w:t xml:space="preserve"> numerical figures and </w:t>
      </w:r>
      <w:r w:rsidR="00050693" w:rsidRPr="00BC1546">
        <w:rPr>
          <w:sz w:val="16"/>
        </w:rPr>
        <w:t>guidance statements obtained from college and universities and other unaffiliated resources are subject to change, and are solely a reflection of past admittance.  Therefore, we</w:t>
      </w:r>
      <w:r w:rsidR="006F5190" w:rsidRPr="00BC1546">
        <w:rPr>
          <w:sz w:val="16"/>
        </w:rPr>
        <w:t xml:space="preserve"> strongly</w:t>
      </w:r>
      <w:r w:rsidR="00050693" w:rsidRPr="00BC1546">
        <w:rPr>
          <w:sz w:val="16"/>
        </w:rPr>
        <w:t xml:space="preserve"> encourage you to take a proactive approach to your academic future by conducting further personal research in determining </w:t>
      </w:r>
      <w:r w:rsidR="006F5190" w:rsidRPr="00BC1546">
        <w:rPr>
          <w:sz w:val="16"/>
        </w:rPr>
        <w:t>your next step.</w:t>
      </w:r>
    </w:p>
    <w:p w:rsidR="006F5190" w:rsidRDefault="006F5190" w:rsidP="00BC1546">
      <w:pPr>
        <w:spacing w:after="0"/>
        <w:rPr>
          <w:sz w:val="20"/>
        </w:rPr>
      </w:pPr>
    </w:p>
    <w:p w:rsidR="002562DC" w:rsidRPr="002562DC" w:rsidRDefault="002562DC" w:rsidP="00BC1546">
      <w:pPr>
        <w:spacing w:after="0"/>
        <w:rPr>
          <w:b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r w:rsidRPr="002562DC">
        <w:rPr>
          <w:b/>
        </w:rPr>
        <w:t>REVISED 8-25-20</w:t>
      </w:r>
      <w:bookmarkEnd w:id="0"/>
    </w:p>
    <w:sectPr w:rsidR="002562DC" w:rsidRPr="002562DC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73" w:rsidRDefault="00097E73" w:rsidP="001F448A">
      <w:pPr>
        <w:spacing w:after="0" w:line="240" w:lineRule="auto"/>
      </w:pPr>
      <w:r>
        <w:separator/>
      </w:r>
    </w:p>
  </w:endnote>
  <w:endnote w:type="continuationSeparator" w:id="0">
    <w:p w:rsidR="00097E73" w:rsidRDefault="00097E73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73" w:rsidRDefault="00097E73" w:rsidP="001F448A">
      <w:pPr>
        <w:spacing w:after="0" w:line="240" w:lineRule="auto"/>
      </w:pPr>
      <w:r>
        <w:separator/>
      </w:r>
    </w:p>
  </w:footnote>
  <w:footnote w:type="continuationSeparator" w:id="0">
    <w:p w:rsidR="00097E73" w:rsidRDefault="00097E73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1C4C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3"/>
    <w:rsid w:val="00050693"/>
    <w:rsid w:val="000619D6"/>
    <w:rsid w:val="0006272E"/>
    <w:rsid w:val="00067C8E"/>
    <w:rsid w:val="00072AE3"/>
    <w:rsid w:val="00075151"/>
    <w:rsid w:val="00097E73"/>
    <w:rsid w:val="000A2E73"/>
    <w:rsid w:val="000A408A"/>
    <w:rsid w:val="000A5F94"/>
    <w:rsid w:val="000E23B7"/>
    <w:rsid w:val="001238E5"/>
    <w:rsid w:val="00175604"/>
    <w:rsid w:val="00195050"/>
    <w:rsid w:val="001D0134"/>
    <w:rsid w:val="001E1184"/>
    <w:rsid w:val="001E3726"/>
    <w:rsid w:val="001E77A3"/>
    <w:rsid w:val="001F448A"/>
    <w:rsid w:val="002562DC"/>
    <w:rsid w:val="002D3FE2"/>
    <w:rsid w:val="002F3EDD"/>
    <w:rsid w:val="003340C8"/>
    <w:rsid w:val="003F21C7"/>
    <w:rsid w:val="00413A91"/>
    <w:rsid w:val="004242B2"/>
    <w:rsid w:val="004404A5"/>
    <w:rsid w:val="00470486"/>
    <w:rsid w:val="004D226E"/>
    <w:rsid w:val="00572236"/>
    <w:rsid w:val="00580871"/>
    <w:rsid w:val="005A53B5"/>
    <w:rsid w:val="005B7565"/>
    <w:rsid w:val="00650E30"/>
    <w:rsid w:val="00661139"/>
    <w:rsid w:val="006F5190"/>
    <w:rsid w:val="0076399F"/>
    <w:rsid w:val="007860F3"/>
    <w:rsid w:val="007C5A36"/>
    <w:rsid w:val="007F37BA"/>
    <w:rsid w:val="00842070"/>
    <w:rsid w:val="00872D80"/>
    <w:rsid w:val="00891ECC"/>
    <w:rsid w:val="009110B2"/>
    <w:rsid w:val="0094794C"/>
    <w:rsid w:val="009A4AE3"/>
    <w:rsid w:val="009C6989"/>
    <w:rsid w:val="00A241E0"/>
    <w:rsid w:val="00AD4ADB"/>
    <w:rsid w:val="00B76073"/>
    <w:rsid w:val="00B83CAF"/>
    <w:rsid w:val="00BA6381"/>
    <w:rsid w:val="00BC1546"/>
    <w:rsid w:val="00BD03FE"/>
    <w:rsid w:val="00C14B3E"/>
    <w:rsid w:val="00C15643"/>
    <w:rsid w:val="00C9284A"/>
    <w:rsid w:val="00C93050"/>
    <w:rsid w:val="00CD6B80"/>
    <w:rsid w:val="00CF42A9"/>
    <w:rsid w:val="00D020AD"/>
    <w:rsid w:val="00D02ECD"/>
    <w:rsid w:val="00D249EE"/>
    <w:rsid w:val="00D56A09"/>
    <w:rsid w:val="00D6024D"/>
    <w:rsid w:val="00D60602"/>
    <w:rsid w:val="00D74058"/>
    <w:rsid w:val="00DE41F1"/>
    <w:rsid w:val="00E033EA"/>
    <w:rsid w:val="00E378CA"/>
    <w:rsid w:val="00E858E8"/>
    <w:rsid w:val="00EB0816"/>
    <w:rsid w:val="00EE6159"/>
    <w:rsid w:val="00F439DB"/>
    <w:rsid w:val="00FD7DE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BC7A5B"/>
  <w15:docId w15:val="{C0211C56-0AAA-4F60-8FD4-3C9903C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nesscott.edu/academics/majors-minor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gnesscott.edu/admiss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72F9-A50D-4DCE-875D-784981DD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Sondra Lake</cp:lastModifiedBy>
  <cp:revision>3</cp:revision>
  <cp:lastPrinted>2014-07-08T14:36:00Z</cp:lastPrinted>
  <dcterms:created xsi:type="dcterms:W3CDTF">2020-08-25T12:11:00Z</dcterms:created>
  <dcterms:modified xsi:type="dcterms:W3CDTF">2020-08-25T12:39:00Z</dcterms:modified>
</cp:coreProperties>
</file>