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A" w:rsidRDefault="00824306" w:rsidP="00D020AD">
      <w:pPr>
        <w:spacing w:after="0"/>
        <w:jc w:val="center"/>
        <w:rPr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 wp14:anchorId="3E076714" wp14:editId="3D0A4D3F">
            <wp:simplePos x="0" y="0"/>
            <wp:positionH relativeFrom="column">
              <wp:posOffset>6343650</wp:posOffset>
            </wp:positionH>
            <wp:positionV relativeFrom="paragraph">
              <wp:posOffset>-24130</wp:posOffset>
            </wp:positionV>
            <wp:extent cx="933450" cy="536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3BDF6BBC" wp14:editId="0534E0DE">
            <wp:simplePos x="0" y="0"/>
            <wp:positionH relativeFrom="column">
              <wp:posOffset>1</wp:posOffset>
            </wp:positionH>
            <wp:positionV relativeFrom="paragraph">
              <wp:posOffset>-24485</wp:posOffset>
            </wp:positionV>
            <wp:extent cx="933450" cy="536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91" cy="53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Morehouse College</w:t>
      </w:r>
    </w:p>
    <w:p w:rsidR="00D020AD" w:rsidRPr="00D020AD" w:rsidRDefault="00B76073" w:rsidP="00D020AD">
      <w:pPr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Admissions</w:t>
      </w:r>
      <w:r w:rsidR="00907D96">
        <w:rPr>
          <w:sz w:val="20"/>
          <w:szCs w:val="20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 w:rsidR="00FE5A4A">
        <w:rPr>
          <w:sz w:val="20"/>
          <w:szCs w:val="20"/>
          <w:lang w:val="en"/>
        </w:rPr>
        <w:t>830 Westview Drive</w:t>
      </w:r>
      <w:r w:rsidR="00D020AD" w:rsidRPr="00D020AD">
        <w:rPr>
          <w:sz w:val="20"/>
          <w:szCs w:val="20"/>
          <w:lang w:val="en"/>
        </w:rPr>
        <w:t xml:space="preserve"> | </w:t>
      </w:r>
      <w:r w:rsidR="00FE5A4A">
        <w:rPr>
          <w:sz w:val="20"/>
          <w:szCs w:val="20"/>
          <w:lang w:val="en"/>
        </w:rPr>
        <w:t>Atlanta</w:t>
      </w:r>
      <w:r w:rsidR="00C33259">
        <w:rPr>
          <w:sz w:val="20"/>
          <w:szCs w:val="20"/>
          <w:lang w:val="en"/>
        </w:rPr>
        <w:t>, GA</w:t>
      </w:r>
      <w:r w:rsidR="00067C8E">
        <w:rPr>
          <w:sz w:val="20"/>
          <w:szCs w:val="20"/>
          <w:lang w:val="en"/>
        </w:rPr>
        <w:t xml:space="preserve"> </w:t>
      </w:r>
      <w:r w:rsidR="00FE5A4A">
        <w:rPr>
          <w:sz w:val="20"/>
          <w:szCs w:val="20"/>
          <w:lang w:val="en"/>
        </w:rPr>
        <w:t>30314</w:t>
      </w:r>
      <w:r w:rsidR="00D020AD" w:rsidRPr="00D020AD">
        <w:rPr>
          <w:rFonts w:cs="Arial"/>
          <w:color w:val="222222"/>
          <w:sz w:val="20"/>
          <w:szCs w:val="20"/>
        </w:rPr>
        <w:t xml:space="preserve"> | </w:t>
      </w:r>
      <w:r w:rsidR="00067C8E">
        <w:rPr>
          <w:rFonts w:cs="Arial"/>
          <w:color w:val="222222"/>
          <w:sz w:val="20"/>
          <w:szCs w:val="20"/>
        </w:rPr>
        <w:t>Phone: (</w:t>
      </w:r>
      <w:r w:rsidR="00FE5A4A">
        <w:rPr>
          <w:rFonts w:cs="Arial"/>
          <w:color w:val="222222"/>
          <w:sz w:val="20"/>
          <w:szCs w:val="20"/>
        </w:rPr>
        <w:t>404</w:t>
      </w:r>
      <w:r w:rsidR="00067C8E">
        <w:rPr>
          <w:rFonts w:cs="Arial"/>
          <w:color w:val="222222"/>
          <w:sz w:val="20"/>
          <w:szCs w:val="20"/>
        </w:rPr>
        <w:t xml:space="preserve">) </w:t>
      </w:r>
      <w:r w:rsidR="00FE5A4A">
        <w:rPr>
          <w:rFonts w:cs="Arial"/>
          <w:color w:val="222222"/>
          <w:sz w:val="20"/>
          <w:szCs w:val="20"/>
        </w:rPr>
        <w:t>215</w:t>
      </w:r>
      <w:r w:rsidR="00067C8E">
        <w:rPr>
          <w:rFonts w:cs="Arial"/>
          <w:color w:val="222222"/>
          <w:sz w:val="20"/>
          <w:szCs w:val="20"/>
        </w:rPr>
        <w:t>-</w:t>
      </w:r>
      <w:r w:rsidR="00FE5A4A">
        <w:rPr>
          <w:rFonts w:cs="Arial"/>
          <w:color w:val="222222"/>
          <w:sz w:val="20"/>
          <w:szCs w:val="20"/>
        </w:rPr>
        <w:t>2632</w:t>
      </w:r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2398"/>
        <w:gridCol w:w="3229"/>
        <w:gridCol w:w="583"/>
        <w:gridCol w:w="5130"/>
      </w:tblGrid>
      <w:tr w:rsidR="00B76073" w:rsidRPr="00BD03FE" w:rsidTr="0052422F">
        <w:trPr>
          <w:trHeight w:val="485"/>
        </w:trPr>
        <w:tc>
          <w:tcPr>
            <w:tcW w:w="2398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8942" w:type="dxa"/>
            <w:gridSpan w:val="3"/>
          </w:tcPr>
          <w:p w:rsidR="00AD4ADB" w:rsidRDefault="008E0084" w:rsidP="00852C86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**</w:t>
            </w:r>
            <w:r w:rsidR="009262DD">
              <w:rPr>
                <w:sz w:val="20"/>
                <w:lang w:val="en"/>
              </w:rPr>
              <w:t>*</w:t>
            </w:r>
            <w:r w:rsidR="00FE5A4A" w:rsidRPr="00FE5A4A">
              <w:rPr>
                <w:rFonts w:cs="Arial"/>
                <w:sz w:val="18"/>
                <w:szCs w:val="18"/>
              </w:rPr>
              <w:t>Early admission applicant should represent students who are in the top 25 percentile of his class, usually a 3.5 or better on a 4.0 scale.</w:t>
            </w:r>
          </w:p>
          <w:p w:rsidR="009C1CDA" w:rsidRDefault="009C1CDA" w:rsidP="00852C86">
            <w:pPr>
              <w:rPr>
                <w:i/>
                <w:sz w:val="20"/>
                <w:lang w:val="en"/>
              </w:rPr>
            </w:pPr>
            <w:r>
              <w:rPr>
                <w:sz w:val="20"/>
                <w:lang w:val="en"/>
              </w:rPr>
              <w:t>*</w:t>
            </w:r>
            <w:r w:rsidR="0052422F">
              <w:rPr>
                <w:sz w:val="20"/>
                <w:lang w:val="en"/>
              </w:rPr>
              <w:t>*</w:t>
            </w:r>
            <w:r w:rsidR="00C7776D">
              <w:rPr>
                <w:i/>
                <w:sz w:val="20"/>
                <w:lang w:val="en"/>
              </w:rPr>
              <w:t>Average based on 2016-2017</w:t>
            </w:r>
            <w:r>
              <w:rPr>
                <w:i/>
                <w:sz w:val="20"/>
                <w:lang w:val="en"/>
              </w:rPr>
              <w:t xml:space="preserve"> Admissions:</w:t>
            </w:r>
          </w:p>
          <w:p w:rsidR="009C1CDA" w:rsidRDefault="009C1CDA" w:rsidP="00852C86">
            <w:pPr>
              <w:rPr>
                <w:sz w:val="20"/>
                <w:lang w:val="en"/>
              </w:rPr>
            </w:pPr>
            <w:r w:rsidRPr="009C1CDA">
              <w:rPr>
                <w:sz w:val="20"/>
                <w:lang w:val="en"/>
              </w:rPr>
              <w:t>25</w:t>
            </w:r>
            <w:r w:rsidRPr="009C1CDA">
              <w:rPr>
                <w:sz w:val="20"/>
                <w:vertAlign w:val="superscript"/>
                <w:lang w:val="en"/>
              </w:rPr>
              <w:t>th</w:t>
            </w:r>
            <w:r w:rsidRPr="009C1CDA">
              <w:rPr>
                <w:sz w:val="20"/>
                <w:lang w:val="en"/>
              </w:rPr>
              <w:t xml:space="preserve"> percentile: </w:t>
            </w:r>
            <w:r w:rsidR="00FE5A4A">
              <w:rPr>
                <w:sz w:val="20"/>
                <w:lang w:val="en"/>
              </w:rPr>
              <w:t>2.</w:t>
            </w:r>
            <w:r w:rsidR="00C7776D">
              <w:rPr>
                <w:sz w:val="20"/>
                <w:lang w:val="en"/>
              </w:rPr>
              <w:t>40</w:t>
            </w:r>
          </w:p>
          <w:p w:rsidR="009C1CDA" w:rsidRDefault="009C1CDA" w:rsidP="00852C86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50</w:t>
            </w:r>
            <w:r w:rsidRPr="009C1CDA">
              <w:rPr>
                <w:sz w:val="20"/>
                <w:vertAlign w:val="superscript"/>
                <w:lang w:val="en"/>
              </w:rPr>
              <w:t>th</w:t>
            </w:r>
            <w:r>
              <w:rPr>
                <w:sz w:val="20"/>
                <w:lang w:val="en"/>
              </w:rPr>
              <w:t xml:space="preserve"> percentile: </w:t>
            </w:r>
            <w:r w:rsidR="00C7776D">
              <w:rPr>
                <w:sz w:val="20"/>
                <w:lang w:val="en"/>
              </w:rPr>
              <w:t>2.50 – 3.24</w:t>
            </w:r>
          </w:p>
          <w:p w:rsidR="009C1CDA" w:rsidRPr="009C1CDA" w:rsidRDefault="009C1CDA" w:rsidP="00C7776D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75</w:t>
            </w:r>
            <w:r w:rsidRPr="009C1CDA">
              <w:rPr>
                <w:sz w:val="20"/>
                <w:vertAlign w:val="superscript"/>
                <w:lang w:val="en"/>
              </w:rPr>
              <w:t>th</w:t>
            </w:r>
            <w:r>
              <w:rPr>
                <w:sz w:val="20"/>
                <w:lang w:val="en"/>
              </w:rPr>
              <w:t xml:space="preserve"> percentile: </w:t>
            </w:r>
            <w:r w:rsidR="00FE5A4A">
              <w:rPr>
                <w:sz w:val="20"/>
                <w:lang w:val="en"/>
              </w:rPr>
              <w:t>3.</w:t>
            </w:r>
            <w:r w:rsidR="00C7776D">
              <w:rPr>
                <w:sz w:val="20"/>
                <w:lang w:val="en"/>
              </w:rPr>
              <w:t>5</w:t>
            </w:r>
          </w:p>
        </w:tc>
      </w:tr>
      <w:tr w:rsidR="00424412" w:rsidRPr="00BD03FE" w:rsidTr="00C7776D">
        <w:trPr>
          <w:trHeight w:val="1646"/>
        </w:trPr>
        <w:tc>
          <w:tcPr>
            <w:tcW w:w="2398" w:type="dxa"/>
          </w:tcPr>
          <w:p w:rsidR="00CD6B80" w:rsidRDefault="00CD6B80" w:rsidP="00413A91">
            <w:r>
              <w:t>ACT/SAT  Requirements</w:t>
            </w:r>
          </w:p>
          <w:p w:rsidR="00CD6B80" w:rsidRPr="00852C86" w:rsidRDefault="00852C86" w:rsidP="0052422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*Average based on mid-range admissions 25</w:t>
            </w:r>
            <w:r w:rsidRPr="00852C86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– 75</w:t>
            </w:r>
            <w:r w:rsidRPr="00852C86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percentile.  </w:t>
            </w:r>
            <w:r w:rsidR="0052422F">
              <w:rPr>
                <w:i/>
                <w:sz w:val="20"/>
                <w:u w:val="single"/>
              </w:rPr>
              <w:t>Bigfuture.collegeboard.org</w:t>
            </w:r>
          </w:p>
        </w:tc>
        <w:tc>
          <w:tcPr>
            <w:tcW w:w="3812" w:type="dxa"/>
            <w:gridSpan w:val="2"/>
          </w:tcPr>
          <w:p w:rsidR="00580871" w:rsidRPr="000619D6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580871" w:rsidRDefault="0078730A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</w:t>
            </w:r>
            <w:r w:rsidR="00580871" w:rsidRPr="000619D6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Average Composite Score 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Enrolled</w:t>
            </w:r>
            <w:r w:rsidR="00580871" w:rsidRPr="000619D6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:</w:t>
            </w:r>
            <w:r w:rsidR="00FE5A4A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 </w:t>
            </w:r>
            <w:r w:rsidR="0052422F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18-2</w:t>
            </w:r>
            <w:r w:rsidR="00C7776D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3</w:t>
            </w:r>
          </w:p>
          <w:p w:rsidR="0052422F" w:rsidRDefault="0052422F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</w:p>
          <w:p w:rsidR="0052422F" w:rsidRDefault="0052422F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*Average Math Admitted: 18-23</w:t>
            </w:r>
          </w:p>
          <w:p w:rsidR="0052422F" w:rsidRDefault="0052422F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</w:p>
          <w:p w:rsidR="00CD6B80" w:rsidRPr="00580871" w:rsidRDefault="00C7776D" w:rsidP="00907D96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*Average English Admitted: 18-23</w:t>
            </w:r>
          </w:p>
        </w:tc>
        <w:tc>
          <w:tcPr>
            <w:tcW w:w="5130" w:type="dxa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650E30" w:rsidRDefault="00C7776D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*Average Critical </w:t>
            </w:r>
            <w:r w:rsidR="00852C86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Reading Admitted: </w:t>
            </w:r>
            <w:r w:rsidR="0052422F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4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0</w:t>
            </w:r>
            <w:r w:rsidR="0052422F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0-5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0</w:t>
            </w:r>
            <w:r w:rsidR="0052422F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0</w:t>
            </w:r>
          </w:p>
          <w:p w:rsidR="00650E30" w:rsidRDefault="00650E30" w:rsidP="00650E30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</w:p>
          <w:p w:rsidR="00650E30" w:rsidRPr="00C7776D" w:rsidRDefault="00852C86" w:rsidP="0052422F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*Average Math Admitted: </w:t>
            </w:r>
            <w:r w:rsidR="00FE5A4A">
              <w:rPr>
                <w:rFonts w:asciiTheme="minorHAnsi" w:hAnsiTheme="minorHAnsi"/>
                <w:bCs/>
                <w:sz w:val="20"/>
                <w:szCs w:val="22"/>
              </w:rPr>
              <w:t>4</w:t>
            </w:r>
            <w:r w:rsidR="00C7776D">
              <w:rPr>
                <w:rFonts w:asciiTheme="minorHAnsi" w:hAnsiTheme="minorHAnsi"/>
                <w:bCs/>
                <w:sz w:val="20"/>
                <w:szCs w:val="22"/>
              </w:rPr>
              <w:t>0</w:t>
            </w:r>
            <w:r w:rsidR="0052422F">
              <w:rPr>
                <w:rFonts w:asciiTheme="minorHAnsi" w:hAnsiTheme="minorHAnsi"/>
                <w:bCs/>
                <w:sz w:val="20"/>
                <w:szCs w:val="22"/>
              </w:rPr>
              <w:t>0-5</w:t>
            </w:r>
            <w:r w:rsidR="00C7776D">
              <w:rPr>
                <w:rFonts w:asciiTheme="minorHAnsi" w:hAnsiTheme="minorHAnsi"/>
                <w:bCs/>
                <w:sz w:val="20"/>
                <w:szCs w:val="22"/>
              </w:rPr>
              <w:t>0</w:t>
            </w:r>
            <w:r w:rsidR="0052422F">
              <w:rPr>
                <w:rFonts w:asciiTheme="minorHAnsi" w:hAnsiTheme="minorHAnsi"/>
                <w:bCs/>
                <w:sz w:val="20"/>
                <w:szCs w:val="22"/>
              </w:rPr>
              <w:t>0</w:t>
            </w:r>
          </w:p>
        </w:tc>
      </w:tr>
      <w:tr w:rsidR="00413A91" w:rsidRPr="00BD03FE" w:rsidTr="0052422F">
        <w:trPr>
          <w:trHeight w:val="413"/>
        </w:trPr>
        <w:tc>
          <w:tcPr>
            <w:tcW w:w="2398" w:type="dxa"/>
          </w:tcPr>
          <w:p w:rsidR="00413A91" w:rsidRPr="00BD03FE" w:rsidRDefault="00CF42A9" w:rsidP="00852C86">
            <w:pPr>
              <w:rPr>
                <w:sz w:val="28"/>
              </w:rPr>
            </w:pPr>
            <w:r w:rsidRPr="001D0134">
              <w:t>AP</w:t>
            </w:r>
            <w:r w:rsidR="00852C86">
              <w:t xml:space="preserve"> </w:t>
            </w:r>
            <w:r w:rsidRPr="001D0134">
              <w:t xml:space="preserve"> </w:t>
            </w:r>
            <w:r w:rsidR="004404A5">
              <w:t>Classes</w:t>
            </w:r>
          </w:p>
        </w:tc>
        <w:tc>
          <w:tcPr>
            <w:tcW w:w="8942" w:type="dxa"/>
            <w:gridSpan w:val="3"/>
          </w:tcPr>
          <w:p w:rsidR="00262054" w:rsidRPr="00DF3253" w:rsidRDefault="0052422F" w:rsidP="00FE5A4A">
            <w:pPr>
              <w:spacing w:before="100" w:beforeAutospacing="1"/>
              <w:rPr>
                <w:b/>
                <w:sz w:val="16"/>
              </w:rPr>
            </w:pPr>
            <w:r>
              <w:rPr>
                <w:sz w:val="16"/>
              </w:rPr>
              <w:t xml:space="preserve">Accepted. </w:t>
            </w:r>
            <w:r w:rsidR="00262054" w:rsidRPr="00262054">
              <w:rPr>
                <w:sz w:val="16"/>
              </w:rPr>
              <w:t>Depende</w:t>
            </w:r>
            <w:r>
              <w:rPr>
                <w:sz w:val="16"/>
              </w:rPr>
              <w:t>nt upon the test scores earned,</w:t>
            </w:r>
            <w:r w:rsidR="00262054" w:rsidRPr="00262054">
              <w:rPr>
                <w:sz w:val="16"/>
              </w:rPr>
              <w:t xml:space="preserve"> you may be eligible to receive course credit. </w:t>
            </w:r>
            <w:r w:rsidR="00DF3253">
              <w:rPr>
                <w:sz w:val="16"/>
              </w:rPr>
              <w:t xml:space="preserve">Visit </w:t>
            </w:r>
            <w:hyperlink r:id="rId9" w:history="1">
              <w:r w:rsidR="00FE5A4A" w:rsidRPr="00B20AB3">
                <w:rPr>
                  <w:rStyle w:val="Hyperlink"/>
                  <w:sz w:val="16"/>
                </w:rPr>
                <w:t>www.morehouse.edu/admissions</w:t>
              </w:r>
            </w:hyperlink>
            <w:r w:rsidR="00FE5A4A">
              <w:rPr>
                <w:sz w:val="16"/>
              </w:rPr>
              <w:t xml:space="preserve"> </w:t>
            </w:r>
            <w:r w:rsidR="00DF3253">
              <w:rPr>
                <w:sz w:val="16"/>
              </w:rPr>
              <w:t xml:space="preserve"> for more information.</w:t>
            </w:r>
          </w:p>
        </w:tc>
      </w:tr>
      <w:tr w:rsidR="00C67253" w:rsidRPr="00BD03FE" w:rsidTr="00021F29">
        <w:trPr>
          <w:trHeight w:val="620"/>
        </w:trPr>
        <w:tc>
          <w:tcPr>
            <w:tcW w:w="11340" w:type="dxa"/>
            <w:gridSpan w:val="4"/>
          </w:tcPr>
          <w:p w:rsidR="00C67253" w:rsidRPr="00FE5A4A" w:rsidRDefault="0052422F" w:rsidP="00FE5A4A">
            <w:pPr>
              <w:rPr>
                <w:sz w:val="16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  <w:r w:rsidR="009262DD">
              <w:rPr>
                <w:rFonts w:cs="Arial"/>
                <w:sz w:val="18"/>
                <w:szCs w:val="18"/>
              </w:rPr>
              <w:t>*</w:t>
            </w:r>
            <w:r w:rsidR="00FE5A4A" w:rsidRPr="00FE5A4A">
              <w:rPr>
                <w:rFonts w:cs="Arial"/>
                <w:sz w:val="18"/>
                <w:szCs w:val="18"/>
              </w:rPr>
              <w:t xml:space="preserve">Morehouse </w:t>
            </w:r>
            <w:r w:rsidR="00824306" w:rsidRPr="00FE5A4A">
              <w:rPr>
                <w:rFonts w:cs="Arial"/>
                <w:sz w:val="18"/>
                <w:szCs w:val="18"/>
              </w:rPr>
              <w:t>College seeks students who will respond to such an opportunity and who will bring to this community a variety of interests and personal characteristics. Academic competence is a major consideration in the selection of students, but also important are an individual's personal qualities which may add to the diversity of the student body.</w:t>
            </w:r>
          </w:p>
        </w:tc>
      </w:tr>
      <w:tr w:rsidR="008E0469" w:rsidRPr="00BD03FE" w:rsidTr="0052422F">
        <w:trPr>
          <w:trHeight w:val="250"/>
        </w:trPr>
        <w:tc>
          <w:tcPr>
            <w:tcW w:w="2398" w:type="dxa"/>
          </w:tcPr>
          <w:p w:rsidR="008E0469" w:rsidRPr="008E0084" w:rsidRDefault="008E0469" w:rsidP="00C7776D">
            <w:pPr>
              <w:rPr>
                <w:szCs w:val="20"/>
              </w:rPr>
            </w:pPr>
            <w:r w:rsidRPr="008E0084">
              <w:rPr>
                <w:szCs w:val="20"/>
              </w:rPr>
              <w:t>#of Applicants (201</w:t>
            </w:r>
            <w:r w:rsidR="00C7776D">
              <w:rPr>
                <w:szCs w:val="20"/>
              </w:rPr>
              <w:t>6</w:t>
            </w:r>
            <w:r w:rsidRPr="008E0084">
              <w:rPr>
                <w:szCs w:val="20"/>
              </w:rPr>
              <w:t>)</w:t>
            </w:r>
          </w:p>
        </w:tc>
        <w:tc>
          <w:tcPr>
            <w:tcW w:w="8942" w:type="dxa"/>
            <w:gridSpan w:val="3"/>
          </w:tcPr>
          <w:p w:rsidR="008E0469" w:rsidRPr="001D0134" w:rsidRDefault="0052422F" w:rsidP="00C7776D">
            <w:r>
              <w:t>**</w:t>
            </w:r>
            <w:r w:rsidR="00C7776D">
              <w:t>2,288</w:t>
            </w:r>
            <w:r w:rsidR="008E0469" w:rsidRPr="001D0134">
              <w:tab/>
            </w:r>
          </w:p>
        </w:tc>
      </w:tr>
      <w:tr w:rsidR="008E0469" w:rsidRPr="00BD03FE" w:rsidTr="0052422F">
        <w:trPr>
          <w:trHeight w:val="265"/>
        </w:trPr>
        <w:tc>
          <w:tcPr>
            <w:tcW w:w="2398" w:type="dxa"/>
          </w:tcPr>
          <w:p w:rsidR="008E0469" w:rsidRPr="008E0084" w:rsidRDefault="008E0469" w:rsidP="00C7776D">
            <w:r w:rsidRPr="008E0084">
              <w:t># Admitted (201</w:t>
            </w:r>
            <w:r w:rsidR="00C7776D">
              <w:t>6</w:t>
            </w:r>
            <w:r w:rsidRPr="008E0084">
              <w:t>)</w:t>
            </w:r>
          </w:p>
        </w:tc>
        <w:tc>
          <w:tcPr>
            <w:tcW w:w="8942" w:type="dxa"/>
            <w:gridSpan w:val="3"/>
          </w:tcPr>
          <w:p w:rsidR="008E0469" w:rsidRPr="001D0134" w:rsidRDefault="00852C86" w:rsidP="00C7776D">
            <w:r w:rsidRPr="001D0134">
              <w:t>*</w:t>
            </w:r>
            <w:r w:rsidR="009262DD">
              <w:t>*</w:t>
            </w:r>
            <w:r w:rsidR="0052422F">
              <w:t>1,</w:t>
            </w:r>
            <w:r w:rsidR="00C7776D">
              <w:t>738</w:t>
            </w:r>
          </w:p>
        </w:tc>
      </w:tr>
      <w:tr w:rsidR="008E0469" w:rsidRPr="00BD03FE" w:rsidTr="0052422F">
        <w:trPr>
          <w:trHeight w:val="250"/>
        </w:trPr>
        <w:tc>
          <w:tcPr>
            <w:tcW w:w="2398" w:type="dxa"/>
          </w:tcPr>
          <w:p w:rsidR="008E0469" w:rsidRPr="008E0084" w:rsidRDefault="008E0469" w:rsidP="00C7776D">
            <w:r w:rsidRPr="008E0084">
              <w:t>Acceptance Rate (201</w:t>
            </w:r>
            <w:r w:rsidR="00C7776D">
              <w:t>6</w:t>
            </w:r>
            <w:r w:rsidRPr="008E0084">
              <w:t>)</w:t>
            </w:r>
          </w:p>
        </w:tc>
        <w:tc>
          <w:tcPr>
            <w:tcW w:w="8942" w:type="dxa"/>
            <w:gridSpan w:val="3"/>
          </w:tcPr>
          <w:p w:rsidR="008E0469" w:rsidRPr="001D0134" w:rsidRDefault="00852C86" w:rsidP="0052422F">
            <w:pPr>
              <w:tabs>
                <w:tab w:val="left" w:pos="1410"/>
              </w:tabs>
            </w:pPr>
            <w:r w:rsidRPr="001D0134">
              <w:t>*</w:t>
            </w:r>
            <w:r w:rsidR="009262DD">
              <w:t>*</w:t>
            </w:r>
            <w:r w:rsidR="0052422F">
              <w:t>62.4%</w:t>
            </w:r>
          </w:p>
        </w:tc>
      </w:tr>
      <w:tr w:rsidR="003F21C7" w:rsidRPr="00BD03FE" w:rsidTr="00C7776D">
        <w:trPr>
          <w:trHeight w:val="1205"/>
        </w:trPr>
        <w:tc>
          <w:tcPr>
            <w:tcW w:w="2398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229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2120"/>
              <w:gridCol w:w="875"/>
            </w:tblGrid>
            <w:tr w:rsidR="00424412" w:rsidRPr="000A2E73" w:rsidTr="00C7776D">
              <w:trPr>
                <w:trHeight w:val="237"/>
              </w:trPr>
              <w:tc>
                <w:tcPr>
                  <w:tcW w:w="2120" w:type="dxa"/>
                </w:tcPr>
                <w:p w:rsidR="003F21C7" w:rsidRPr="000A2E73" w:rsidRDefault="003F21C7" w:rsidP="00DF3253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DF3253">
                    <w:rPr>
                      <w:sz w:val="20"/>
                    </w:rPr>
                    <w:t xml:space="preserve"> (12hrs)</w:t>
                  </w:r>
                  <w:r w:rsidR="00C7776D">
                    <w:rPr>
                      <w:sz w:val="20"/>
                    </w:rPr>
                    <w:t>/Fees</w:t>
                  </w:r>
                </w:p>
              </w:tc>
              <w:tc>
                <w:tcPr>
                  <w:tcW w:w="875" w:type="dxa"/>
                </w:tcPr>
                <w:p w:rsidR="003F21C7" w:rsidRPr="000A2E73" w:rsidRDefault="003F21C7" w:rsidP="00C7776D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C7776D">
                    <w:rPr>
                      <w:sz w:val="20"/>
                    </w:rPr>
                    <w:t>26,742</w:t>
                  </w:r>
                </w:p>
              </w:tc>
            </w:tr>
            <w:tr w:rsidR="00DF3253" w:rsidRPr="000A2E73" w:rsidTr="00C7776D">
              <w:trPr>
                <w:trHeight w:val="237"/>
              </w:trPr>
              <w:tc>
                <w:tcPr>
                  <w:tcW w:w="2120" w:type="dxa"/>
                </w:tcPr>
                <w:p w:rsidR="00DF3253" w:rsidRPr="000A2E73" w:rsidRDefault="00C7776D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Room/Board</w:t>
                  </w:r>
                </w:p>
              </w:tc>
              <w:tc>
                <w:tcPr>
                  <w:tcW w:w="875" w:type="dxa"/>
                </w:tcPr>
                <w:p w:rsidR="00DF3253" w:rsidRPr="000A2E73" w:rsidRDefault="00C7776D" w:rsidP="00424412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$13,322</w:t>
                  </w:r>
                </w:p>
              </w:tc>
            </w:tr>
            <w:tr w:rsidR="00424412" w:rsidRPr="000A2E73" w:rsidTr="00C7776D">
              <w:trPr>
                <w:trHeight w:val="250"/>
              </w:trPr>
              <w:tc>
                <w:tcPr>
                  <w:tcW w:w="2120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875" w:type="dxa"/>
                </w:tcPr>
                <w:p w:rsidR="003F21C7" w:rsidRPr="000A2E73" w:rsidRDefault="004404A5" w:rsidP="00C7776D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424412">
                    <w:rPr>
                      <w:sz w:val="20"/>
                    </w:rPr>
                    <w:t>40,</w:t>
                  </w:r>
                  <w:r w:rsidR="00C7776D">
                    <w:rPr>
                      <w:sz w:val="20"/>
                    </w:rPr>
                    <w:t>064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13" w:type="dxa"/>
            <w:gridSpan w:val="2"/>
          </w:tcPr>
          <w:p w:rsidR="003F21C7" w:rsidRPr="005362A1" w:rsidRDefault="00C7776D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18"/>
                <w:szCs w:val="20"/>
              </w:rPr>
            </w:pPr>
            <w:r>
              <w:rPr>
                <w:color w:val="000000"/>
                <w:sz w:val="16"/>
                <w:szCs w:val="20"/>
                <w:lang w:val="en"/>
              </w:rPr>
              <w:t>This is a 2016-17</w:t>
            </w:r>
            <w:r w:rsidR="003F21C7" w:rsidRPr="005362A1">
              <w:rPr>
                <w:color w:val="000000"/>
                <w:sz w:val="16"/>
                <w:szCs w:val="20"/>
                <w:lang w:val="en"/>
              </w:rPr>
              <w:t xml:space="preserve"> COA table for First-Year Undergraduate and </w:t>
            </w:r>
            <w:r w:rsidR="003F21C7" w:rsidRPr="005362A1">
              <w:rPr>
                <w:sz w:val="16"/>
                <w:szCs w:val="20"/>
              </w:rPr>
              <w:t>assumes</w:t>
            </w:r>
            <w:r w:rsidR="0078730A" w:rsidRPr="005362A1">
              <w:rPr>
                <w:sz w:val="16"/>
                <w:szCs w:val="20"/>
              </w:rPr>
              <w:t xml:space="preserve"> </w:t>
            </w:r>
            <w:r w:rsidR="00444A4E">
              <w:rPr>
                <w:sz w:val="16"/>
                <w:szCs w:val="20"/>
              </w:rPr>
              <w:t>fu</w:t>
            </w:r>
            <w:r w:rsidR="003F21C7" w:rsidRPr="005362A1">
              <w:rPr>
                <w:sz w:val="16"/>
                <w:szCs w:val="20"/>
              </w:rPr>
              <w:t>ll-time enrollment (at least 12</w:t>
            </w:r>
            <w:r w:rsidR="00BD03FE" w:rsidRPr="005362A1">
              <w:rPr>
                <w:sz w:val="16"/>
                <w:szCs w:val="20"/>
              </w:rPr>
              <w:t xml:space="preserve"> </w:t>
            </w:r>
            <w:r w:rsidR="003F21C7" w:rsidRPr="005362A1">
              <w:rPr>
                <w:sz w:val="16"/>
                <w:szCs w:val="20"/>
              </w:rPr>
              <w:t>course credits in a given semester)</w:t>
            </w:r>
          </w:p>
          <w:p w:rsidR="00075151" w:rsidRPr="005362A1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18"/>
                <w:szCs w:val="20"/>
              </w:rPr>
            </w:pPr>
            <w:r w:rsidRPr="005362A1">
              <w:rPr>
                <w:sz w:val="16"/>
                <w:szCs w:val="20"/>
              </w:rPr>
              <w:t>Figures assu</w:t>
            </w:r>
            <w:r w:rsidR="00424412">
              <w:rPr>
                <w:sz w:val="16"/>
                <w:szCs w:val="20"/>
              </w:rPr>
              <w:t>me an average room and board</w:t>
            </w:r>
            <w:r w:rsidR="008E0469">
              <w:rPr>
                <w:sz w:val="16"/>
                <w:szCs w:val="20"/>
              </w:rPr>
              <w:t xml:space="preserve"> </w:t>
            </w:r>
            <w:r w:rsidR="005362A1" w:rsidRPr="005362A1">
              <w:rPr>
                <w:sz w:val="16"/>
                <w:szCs w:val="20"/>
              </w:rPr>
              <w:t>and are subject to vary</w:t>
            </w:r>
            <w:r w:rsidRPr="005362A1">
              <w:rPr>
                <w:sz w:val="16"/>
                <w:szCs w:val="20"/>
              </w:rPr>
              <w:t>.</w:t>
            </w:r>
          </w:p>
          <w:p w:rsidR="00470486" w:rsidRPr="005362A1" w:rsidRDefault="00424412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Does</w:t>
            </w:r>
            <w:r w:rsidR="00470486" w:rsidRPr="005362A1">
              <w:rPr>
                <w:sz w:val="16"/>
                <w:szCs w:val="20"/>
              </w:rPr>
              <w:t xml:space="preserve"> not include</w:t>
            </w:r>
            <w:r>
              <w:rPr>
                <w:sz w:val="16"/>
                <w:szCs w:val="20"/>
              </w:rPr>
              <w:t xml:space="preserve"> books/supplies and</w:t>
            </w:r>
            <w:r w:rsidR="00470486" w:rsidRPr="005362A1">
              <w:rPr>
                <w:sz w:val="16"/>
                <w:szCs w:val="20"/>
              </w:rPr>
              <w:t xml:space="preserve"> other miscellaneous</w:t>
            </w:r>
            <w:r>
              <w:rPr>
                <w:sz w:val="16"/>
                <w:szCs w:val="20"/>
              </w:rPr>
              <w:t>/</w:t>
            </w:r>
            <w:r w:rsidR="008E0469">
              <w:rPr>
                <w:sz w:val="16"/>
                <w:szCs w:val="20"/>
              </w:rPr>
              <w:t>personal</w:t>
            </w:r>
            <w:r w:rsidR="00470486" w:rsidRPr="005362A1">
              <w:rPr>
                <w:sz w:val="16"/>
                <w:szCs w:val="20"/>
              </w:rPr>
              <w:t xml:space="preserve"> expenses</w:t>
            </w:r>
            <w:r w:rsidR="008E0469">
              <w:rPr>
                <w:sz w:val="16"/>
                <w:szCs w:val="20"/>
              </w:rPr>
              <w:t>.</w:t>
            </w:r>
          </w:p>
          <w:p w:rsidR="00075151" w:rsidRPr="000A2E73" w:rsidRDefault="00075151" w:rsidP="00424412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5362A1">
              <w:rPr>
                <w:sz w:val="16"/>
                <w:szCs w:val="20"/>
              </w:rPr>
              <w:t>Visit</w:t>
            </w:r>
            <w:r w:rsidR="008E0469">
              <w:rPr>
                <w:sz w:val="16"/>
                <w:szCs w:val="20"/>
              </w:rPr>
              <w:t xml:space="preserve"> </w:t>
            </w:r>
            <w:r w:rsidR="00424412" w:rsidRPr="00424412">
              <w:rPr>
                <w:sz w:val="16"/>
                <w:szCs w:val="20"/>
                <w:u w:val="single"/>
              </w:rPr>
              <w:t>www.morehouse.edu/admissions/home/tuition</w:t>
            </w:r>
            <w:r w:rsidR="00907D96" w:rsidRPr="005362A1">
              <w:rPr>
                <w:sz w:val="20"/>
              </w:rPr>
              <w:t xml:space="preserve"> </w:t>
            </w:r>
            <w:r w:rsidRPr="005362A1">
              <w:rPr>
                <w:sz w:val="16"/>
                <w:szCs w:val="20"/>
              </w:rPr>
              <w:t>for more information</w:t>
            </w:r>
            <w:r w:rsidR="008E0469">
              <w:rPr>
                <w:sz w:val="16"/>
                <w:szCs w:val="20"/>
              </w:rPr>
              <w:t>.</w:t>
            </w:r>
          </w:p>
        </w:tc>
      </w:tr>
    </w:tbl>
    <w:p w:rsidR="00BC1546" w:rsidRPr="00D02ECD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="0037739D">
        <w:rPr>
          <w:b/>
          <w:sz w:val="20"/>
          <w:u w:val="single"/>
        </w:rPr>
        <w:t>(</w:t>
      </w:r>
      <w:r w:rsidRPr="00D02ECD">
        <w:rPr>
          <w:b/>
          <w:sz w:val="20"/>
          <w:u w:val="single"/>
        </w:rPr>
        <w:t>Some fields may have various bachelor degree</w:t>
      </w:r>
      <w:r w:rsidR="00DB038C">
        <w:rPr>
          <w:b/>
          <w:sz w:val="20"/>
          <w:u w:val="single"/>
        </w:rPr>
        <w:t xml:space="preserve"> and Minor</w:t>
      </w:r>
      <w:r w:rsidRPr="00D02ECD">
        <w:rPr>
          <w:b/>
          <w:sz w:val="20"/>
          <w:u w:val="single"/>
        </w:rPr>
        <w:t xml:space="preserve"> opportunities)</w:t>
      </w:r>
    </w:p>
    <w:p w:rsidR="0037739D" w:rsidRPr="00513AF4" w:rsidRDefault="0037739D" w:rsidP="00513AF4">
      <w:pPr>
        <w:rPr>
          <w:i/>
          <w:color w:val="000000"/>
          <w:sz w:val="14"/>
          <w:szCs w:val="20"/>
          <w:lang w:val="en"/>
        </w:rPr>
        <w:sectPr w:rsidR="0037739D" w:rsidRPr="00513AF4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  <w:r w:rsidRPr="00513AF4">
        <w:rPr>
          <w:i/>
          <w:sz w:val="20"/>
        </w:rPr>
        <w:t xml:space="preserve">Morehouse College offers </w:t>
      </w:r>
      <w:r w:rsidR="00513AF4" w:rsidRPr="00513AF4">
        <w:rPr>
          <w:i/>
          <w:sz w:val="20"/>
        </w:rPr>
        <w:t>programs of study leading to a Bachelor of Arts or Bachelor of S</w:t>
      </w:r>
      <w:r w:rsidRPr="00513AF4">
        <w:rPr>
          <w:i/>
          <w:sz w:val="20"/>
        </w:rPr>
        <w:t>cience degree. Students may choose from a total of 26 majors across our three academic divisions.</w:t>
      </w:r>
    </w:p>
    <w:p w:rsidR="00DB038C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 American Studies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Administration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</w:t>
      </w:r>
    </w:p>
    <w:p w:rsidR="00D60602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Chinese Studies</w:t>
      </w:r>
    </w:p>
    <w:p w:rsidR="009C1CDA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Cinema, Television, &amp; Emerging Media Studies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Drama &amp; Dance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Economics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Engineering (Dual Degree Program)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Kinesiology, Sports Studies &amp; Physical Education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Modern Foreign Languages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 &amp; Religion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Psychology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Sociology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Urban Studies</w:t>
      </w:r>
    </w:p>
    <w:p w:rsidR="0037739D" w:rsidRDefault="0037739D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Visual Arts Program</w:t>
      </w:r>
    </w:p>
    <w:p w:rsidR="00673EC4" w:rsidRPr="00C170DD" w:rsidRDefault="00673EC4" w:rsidP="00C170DD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673EC4" w:rsidRPr="00C170DD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E277B6" w:rsidRDefault="00E277B6" w:rsidP="00B76073">
      <w:pPr>
        <w:spacing w:after="0"/>
        <w:rPr>
          <w:b/>
          <w:i/>
        </w:rPr>
      </w:pPr>
    </w:p>
    <w:p w:rsidR="00E277B6" w:rsidRPr="00C7776D" w:rsidRDefault="00BD03FE" w:rsidP="00C7776D">
      <w:pPr>
        <w:spacing w:after="0"/>
        <w:rPr>
          <w:b/>
          <w:i/>
        </w:rPr>
      </w:pPr>
      <w:r w:rsidRPr="00D02ECD">
        <w:rPr>
          <w:b/>
          <w:i/>
        </w:rPr>
        <w:t xml:space="preserve">For more information, </w:t>
      </w:r>
      <w:r w:rsidR="00673EC4">
        <w:rPr>
          <w:b/>
          <w:i/>
        </w:rPr>
        <w:t>visi</w:t>
      </w:r>
      <w:r w:rsidR="009C6989">
        <w:rPr>
          <w:b/>
          <w:i/>
        </w:rPr>
        <w:t>t</w:t>
      </w:r>
      <w:r w:rsidR="00673EC4">
        <w:rPr>
          <w:b/>
          <w:i/>
        </w:rPr>
        <w:t xml:space="preserve"> </w:t>
      </w:r>
      <w:r w:rsidR="009C6989">
        <w:rPr>
          <w:b/>
          <w:i/>
        </w:rPr>
        <w:t xml:space="preserve"> </w:t>
      </w:r>
      <w:r w:rsidR="00513AF4">
        <w:rPr>
          <w:b/>
          <w:i/>
          <w:u w:val="single"/>
        </w:rPr>
        <w:t>morehouse</w:t>
      </w:r>
      <w:r w:rsidR="00907D96">
        <w:rPr>
          <w:b/>
          <w:i/>
          <w:u w:val="single"/>
        </w:rPr>
        <w:t>.edu/</w:t>
      </w:r>
      <w:r w:rsidR="00513AF4">
        <w:rPr>
          <w:b/>
          <w:i/>
          <w:u w:val="single"/>
        </w:rPr>
        <w:t>academics</w:t>
      </w:r>
      <w:r w:rsidRPr="00D020AD">
        <w:rPr>
          <w:b/>
          <w:i/>
          <w:sz w:val="24"/>
        </w:rPr>
        <w:t xml:space="preserve">. </w:t>
      </w:r>
    </w:p>
    <w:p w:rsidR="00E277B6" w:rsidRDefault="00E277B6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1D0134" w:rsidRDefault="0052422F" w:rsidP="00D020AD">
      <w:pPr>
        <w:pStyle w:val="Footer"/>
        <w:rPr>
          <w:sz w:val="18"/>
        </w:rPr>
      </w:pPr>
      <w:r>
        <w:rPr>
          <w:sz w:val="18"/>
        </w:rPr>
        <w:t>* S</w:t>
      </w:r>
      <w:r w:rsidR="006F5190" w:rsidRPr="004A4F34">
        <w:rPr>
          <w:sz w:val="18"/>
        </w:rPr>
        <w:t xml:space="preserve">tatistics calculated and provided by </w:t>
      </w:r>
      <w:r w:rsidRPr="0052422F">
        <w:rPr>
          <w:sz w:val="18"/>
          <w:u w:val="single"/>
        </w:rPr>
        <w:t>bigfuture.collegeboard.org</w:t>
      </w:r>
      <w:r w:rsidR="00C7776D">
        <w:rPr>
          <w:sz w:val="18"/>
        </w:rPr>
        <w:t xml:space="preserve"> based on the 2016-2017</w:t>
      </w:r>
      <w:r w:rsidR="006F5190" w:rsidRPr="004A4F34">
        <w:rPr>
          <w:sz w:val="18"/>
        </w:rPr>
        <w:t xml:space="preserve"> Application Year</w:t>
      </w:r>
      <w:r>
        <w:rPr>
          <w:sz w:val="18"/>
        </w:rPr>
        <w:t>.</w:t>
      </w:r>
    </w:p>
    <w:p w:rsidR="009262DD" w:rsidRPr="004A4F34" w:rsidRDefault="009262DD" w:rsidP="00D020AD">
      <w:pPr>
        <w:pStyle w:val="Footer"/>
        <w:rPr>
          <w:sz w:val="18"/>
        </w:rPr>
      </w:pPr>
      <w:r>
        <w:rPr>
          <w:sz w:val="18"/>
        </w:rPr>
        <w:t>**</w:t>
      </w:r>
      <w:r w:rsidRPr="004A4F34">
        <w:rPr>
          <w:sz w:val="18"/>
        </w:rPr>
        <w:t xml:space="preserve">Statistics calculated and provided by </w:t>
      </w:r>
      <w:r w:rsidRPr="0052422F">
        <w:rPr>
          <w:sz w:val="18"/>
          <w:u w:val="single"/>
        </w:rPr>
        <w:t>Parchment.com</w:t>
      </w:r>
      <w:r w:rsidR="00C7776D">
        <w:rPr>
          <w:sz w:val="18"/>
        </w:rPr>
        <w:t xml:space="preserve"> based on the 2016-2017</w:t>
      </w:r>
      <w:r w:rsidRPr="004A4F34">
        <w:rPr>
          <w:sz w:val="18"/>
        </w:rPr>
        <w:t xml:space="preserve"> Application Year</w:t>
      </w:r>
      <w:r>
        <w:rPr>
          <w:sz w:val="18"/>
        </w:rPr>
        <w:t>.</w:t>
      </w:r>
    </w:p>
    <w:p w:rsidR="0052422F" w:rsidRDefault="009262DD" w:rsidP="00D020AD">
      <w:pPr>
        <w:pStyle w:val="Footer"/>
        <w:rPr>
          <w:rStyle w:val="Hyperlink"/>
          <w:sz w:val="18"/>
        </w:rPr>
      </w:pPr>
      <w:r>
        <w:rPr>
          <w:sz w:val="18"/>
        </w:rPr>
        <w:t>*</w:t>
      </w:r>
      <w:r w:rsidR="004A4F34" w:rsidRPr="004A4F34">
        <w:rPr>
          <w:sz w:val="18"/>
        </w:rPr>
        <w:t xml:space="preserve">**Statement/Statistics taken directly from the </w:t>
      </w:r>
      <w:r>
        <w:rPr>
          <w:sz w:val="18"/>
        </w:rPr>
        <w:t>Morehouse College Admissions</w:t>
      </w:r>
      <w:r w:rsidR="0052422F">
        <w:rPr>
          <w:sz w:val="18"/>
        </w:rPr>
        <w:t xml:space="preserve"> Website. </w:t>
      </w:r>
      <w:hyperlink r:id="rId10" w:history="1">
        <w:r w:rsidR="0052422F" w:rsidRPr="00B20AB3">
          <w:rPr>
            <w:rStyle w:val="Hyperlink"/>
            <w:sz w:val="18"/>
          </w:rPr>
          <w:t>www.morehosue.edu/admissions</w:t>
        </w:r>
      </w:hyperlink>
    </w:p>
    <w:p w:rsidR="00C7776D" w:rsidRDefault="00C7776D" w:rsidP="00D020AD">
      <w:pPr>
        <w:pStyle w:val="Footer"/>
        <w:rPr>
          <w:rStyle w:val="Hyperlink"/>
          <w:sz w:val="18"/>
        </w:rPr>
      </w:pPr>
    </w:p>
    <w:p w:rsidR="00C7776D" w:rsidRPr="004A4F34" w:rsidRDefault="00C7776D" w:rsidP="00D020AD">
      <w:pPr>
        <w:pStyle w:val="Footer"/>
        <w:rPr>
          <w:sz w:val="18"/>
        </w:rPr>
      </w:pPr>
      <w:bookmarkStart w:id="0" w:name="_GoBack"/>
      <w:bookmarkEnd w:id="0"/>
    </w:p>
    <w:p w:rsidR="00D60602" w:rsidRDefault="004A4F34" w:rsidP="00D020AD">
      <w:pPr>
        <w:pStyle w:val="Footer"/>
        <w:rPr>
          <w:sz w:val="20"/>
        </w:rPr>
      </w:pPr>
      <w:r>
        <w:rPr>
          <w:rFonts w:ascii="Arial" w:hAnsi="Arial" w:cs="Arial"/>
          <w:color w:val="222222"/>
          <w:sz w:val="16"/>
          <w:szCs w:val="18"/>
        </w:rPr>
        <w:t>_________________________________________________________________________________________________________________________</w:t>
      </w:r>
    </w:p>
    <w:p w:rsidR="006F5190" w:rsidRPr="00D020AD" w:rsidRDefault="00BD03FE" w:rsidP="001D0134">
      <w:pPr>
        <w:pStyle w:val="Footer"/>
        <w:rPr>
          <w:sz w:val="20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</w:p>
    <w:p w:rsidR="006F5190" w:rsidRPr="00BD03FE" w:rsidRDefault="006F5190" w:rsidP="00BC1546">
      <w:pPr>
        <w:spacing w:after="0"/>
        <w:rPr>
          <w:sz w:val="20"/>
        </w:rPr>
      </w:pPr>
    </w:p>
    <w:sectPr w:rsidR="006F5190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B6" w:rsidRDefault="00502DB6" w:rsidP="001F448A">
      <w:pPr>
        <w:spacing w:after="0" w:line="240" w:lineRule="auto"/>
      </w:pPr>
      <w:r>
        <w:separator/>
      </w:r>
    </w:p>
  </w:endnote>
  <w:endnote w:type="continuationSeparator" w:id="0">
    <w:p w:rsidR="00502DB6" w:rsidRDefault="00502DB6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B6" w:rsidRDefault="00502DB6" w:rsidP="001F448A">
      <w:pPr>
        <w:spacing w:after="0" w:line="240" w:lineRule="auto"/>
      </w:pPr>
      <w:r>
        <w:separator/>
      </w:r>
    </w:p>
  </w:footnote>
  <w:footnote w:type="continuationSeparator" w:id="0">
    <w:p w:rsidR="00502DB6" w:rsidRDefault="00502DB6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1C4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E1F71"/>
    <w:multiLevelType w:val="hybridMultilevel"/>
    <w:tmpl w:val="E6E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3"/>
    <w:rsid w:val="00050693"/>
    <w:rsid w:val="000619D6"/>
    <w:rsid w:val="0006272E"/>
    <w:rsid w:val="00067C8E"/>
    <w:rsid w:val="00072AE3"/>
    <w:rsid w:val="00075151"/>
    <w:rsid w:val="000A2E73"/>
    <w:rsid w:val="000A408A"/>
    <w:rsid w:val="000A5F94"/>
    <w:rsid w:val="000F11FB"/>
    <w:rsid w:val="001238E5"/>
    <w:rsid w:val="00195050"/>
    <w:rsid w:val="001D0134"/>
    <w:rsid w:val="001E1184"/>
    <w:rsid w:val="001E3726"/>
    <w:rsid w:val="001E77A3"/>
    <w:rsid w:val="001F448A"/>
    <w:rsid w:val="00262054"/>
    <w:rsid w:val="002D3FE2"/>
    <w:rsid w:val="002F2578"/>
    <w:rsid w:val="0032292F"/>
    <w:rsid w:val="0037739D"/>
    <w:rsid w:val="003F21C7"/>
    <w:rsid w:val="00413A91"/>
    <w:rsid w:val="004242B2"/>
    <w:rsid w:val="00424412"/>
    <w:rsid w:val="004404A5"/>
    <w:rsid w:val="00444A4E"/>
    <w:rsid w:val="00470486"/>
    <w:rsid w:val="004A4F34"/>
    <w:rsid w:val="004C656C"/>
    <w:rsid w:val="004D226E"/>
    <w:rsid w:val="00502DB6"/>
    <w:rsid w:val="00513AF4"/>
    <w:rsid w:val="0052422F"/>
    <w:rsid w:val="005362A1"/>
    <w:rsid w:val="00572236"/>
    <w:rsid w:val="00580871"/>
    <w:rsid w:val="005A53B5"/>
    <w:rsid w:val="005B7565"/>
    <w:rsid w:val="00650E30"/>
    <w:rsid w:val="0066726A"/>
    <w:rsid w:val="00673EC4"/>
    <w:rsid w:val="006F5190"/>
    <w:rsid w:val="0076399F"/>
    <w:rsid w:val="00777C19"/>
    <w:rsid w:val="007860F3"/>
    <w:rsid w:val="0078730A"/>
    <w:rsid w:val="007C5A36"/>
    <w:rsid w:val="007D7D65"/>
    <w:rsid w:val="007F37BA"/>
    <w:rsid w:val="00824306"/>
    <w:rsid w:val="00842070"/>
    <w:rsid w:val="00852C86"/>
    <w:rsid w:val="00872D80"/>
    <w:rsid w:val="00891ECC"/>
    <w:rsid w:val="008E0084"/>
    <w:rsid w:val="008E0469"/>
    <w:rsid w:val="00907D96"/>
    <w:rsid w:val="009110B2"/>
    <w:rsid w:val="009262DD"/>
    <w:rsid w:val="0094794C"/>
    <w:rsid w:val="009C1CDA"/>
    <w:rsid w:val="009C6989"/>
    <w:rsid w:val="009F2869"/>
    <w:rsid w:val="00A241E0"/>
    <w:rsid w:val="00AC1225"/>
    <w:rsid w:val="00AC5E3C"/>
    <w:rsid w:val="00AD4ADB"/>
    <w:rsid w:val="00B76073"/>
    <w:rsid w:val="00B83CAF"/>
    <w:rsid w:val="00BC1546"/>
    <w:rsid w:val="00BD03FE"/>
    <w:rsid w:val="00C14B3E"/>
    <w:rsid w:val="00C170DD"/>
    <w:rsid w:val="00C23B33"/>
    <w:rsid w:val="00C33259"/>
    <w:rsid w:val="00C67253"/>
    <w:rsid w:val="00C7776D"/>
    <w:rsid w:val="00C9284A"/>
    <w:rsid w:val="00CD6B80"/>
    <w:rsid w:val="00CF42A9"/>
    <w:rsid w:val="00D020AD"/>
    <w:rsid w:val="00D02ECD"/>
    <w:rsid w:val="00D56A09"/>
    <w:rsid w:val="00D6024D"/>
    <w:rsid w:val="00D60602"/>
    <w:rsid w:val="00D74058"/>
    <w:rsid w:val="00DB038C"/>
    <w:rsid w:val="00DF3253"/>
    <w:rsid w:val="00E033EA"/>
    <w:rsid w:val="00E277B6"/>
    <w:rsid w:val="00E378CA"/>
    <w:rsid w:val="00E81C9B"/>
    <w:rsid w:val="00E858E8"/>
    <w:rsid w:val="00EB0816"/>
    <w:rsid w:val="00EE6159"/>
    <w:rsid w:val="00EF3E63"/>
    <w:rsid w:val="00F439DB"/>
    <w:rsid w:val="00FE0425"/>
    <w:rsid w:val="00FE1666"/>
    <w:rsid w:val="00FE5A4A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1530"/>
  <w15:docId w15:val="{E31AA56B-6ABF-41F1-A145-DF0FD37A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rehosue.edu/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ehouse.edu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F825-A8F1-4A9C-9474-935B98D6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Lake, Sondra</cp:lastModifiedBy>
  <cp:revision>8</cp:revision>
  <cp:lastPrinted>2014-07-10T17:08:00Z</cp:lastPrinted>
  <dcterms:created xsi:type="dcterms:W3CDTF">2014-07-10T15:04:00Z</dcterms:created>
  <dcterms:modified xsi:type="dcterms:W3CDTF">2016-08-18T14:55:00Z</dcterms:modified>
</cp:coreProperties>
</file>