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A" w:rsidRDefault="0026365E" w:rsidP="0026365E">
      <w:pPr>
        <w:tabs>
          <w:tab w:val="left" w:pos="1440"/>
          <w:tab w:val="center" w:pos="5760"/>
        </w:tabs>
        <w:spacing w:after="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University of </w:t>
      </w:r>
      <w:r w:rsidR="00755DFC">
        <w:rPr>
          <w:b/>
          <w:sz w:val="32"/>
        </w:rPr>
        <w:t xml:space="preserve">South </w:t>
      </w:r>
      <w:r>
        <w:rPr>
          <w:b/>
          <w:sz w:val="32"/>
        </w:rPr>
        <w:t xml:space="preserve">Alabama </w:t>
      </w:r>
    </w:p>
    <w:p w:rsidR="00D020AD" w:rsidRPr="00D020AD" w:rsidRDefault="00B76073" w:rsidP="00D020AD">
      <w:pPr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Undergraduate Admissions</w:t>
      </w:r>
      <w:r w:rsidR="007C5A36">
        <w:rPr>
          <w:sz w:val="20"/>
          <w:szCs w:val="20"/>
          <w:lang w:val="en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 w:rsidR="00755DFC">
        <w:rPr>
          <w:sz w:val="20"/>
          <w:szCs w:val="20"/>
          <w:lang w:val="en"/>
        </w:rPr>
        <w:t>307 University Blvd N.</w:t>
      </w:r>
      <w:r w:rsidR="00D020AD" w:rsidRPr="00D020AD">
        <w:rPr>
          <w:sz w:val="20"/>
          <w:szCs w:val="20"/>
          <w:lang w:val="en"/>
        </w:rPr>
        <w:t xml:space="preserve"> | </w:t>
      </w:r>
      <w:r w:rsidR="00755DFC">
        <w:rPr>
          <w:sz w:val="20"/>
          <w:szCs w:val="20"/>
          <w:lang w:val="en"/>
        </w:rPr>
        <w:t>Mobile, AL 36608-9979</w:t>
      </w:r>
      <w:r w:rsidR="00D020AD" w:rsidRPr="00D020AD">
        <w:rPr>
          <w:rFonts w:cs="Arial"/>
          <w:color w:val="222222"/>
          <w:sz w:val="20"/>
          <w:szCs w:val="20"/>
        </w:rPr>
        <w:t xml:space="preserve"> | </w:t>
      </w:r>
      <w:r w:rsidR="00067C8E">
        <w:rPr>
          <w:rFonts w:cs="Arial"/>
          <w:color w:val="222222"/>
          <w:sz w:val="20"/>
          <w:szCs w:val="20"/>
        </w:rPr>
        <w:t xml:space="preserve">Phone: </w:t>
      </w:r>
      <w:r w:rsidR="00755DFC">
        <w:rPr>
          <w:rFonts w:cs="Arial"/>
          <w:color w:val="222222"/>
          <w:sz w:val="20"/>
          <w:szCs w:val="20"/>
        </w:rPr>
        <w:t xml:space="preserve"> </w:t>
      </w:r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980"/>
        <w:gridCol w:w="3600"/>
        <w:gridCol w:w="540"/>
        <w:gridCol w:w="5220"/>
      </w:tblGrid>
      <w:tr w:rsidR="00B76073" w:rsidRPr="00BD03FE" w:rsidTr="00F94E62">
        <w:trPr>
          <w:trHeight w:val="485"/>
        </w:trPr>
        <w:tc>
          <w:tcPr>
            <w:tcW w:w="1980" w:type="dxa"/>
          </w:tcPr>
          <w:p w:rsidR="00B76073" w:rsidRPr="00F94E62" w:rsidRDefault="00B76073" w:rsidP="00B76073">
            <w:pPr>
              <w:rPr>
                <w:sz w:val="24"/>
              </w:rPr>
            </w:pPr>
            <w:r w:rsidRPr="00F94E62">
              <w:rPr>
                <w:sz w:val="24"/>
              </w:rPr>
              <w:t>GPA</w:t>
            </w:r>
          </w:p>
          <w:p w:rsidR="000619D6" w:rsidRPr="00F94E62" w:rsidRDefault="000619D6" w:rsidP="00B76073">
            <w:pPr>
              <w:rPr>
                <w:sz w:val="24"/>
              </w:rPr>
            </w:pPr>
          </w:p>
        </w:tc>
        <w:tc>
          <w:tcPr>
            <w:tcW w:w="9360" w:type="dxa"/>
            <w:gridSpan w:val="3"/>
          </w:tcPr>
          <w:p w:rsidR="00AD4ADB" w:rsidRPr="00F94E62" w:rsidRDefault="00755DFC" w:rsidP="00842A49">
            <w:pPr>
              <w:rPr>
                <w:sz w:val="24"/>
                <w:lang w:val="en"/>
              </w:rPr>
            </w:pPr>
            <w:r w:rsidRPr="00F94E62">
              <w:rPr>
                <w:sz w:val="24"/>
                <w:lang w:val="en"/>
              </w:rPr>
              <w:t xml:space="preserve">Minimum 2.5 </w:t>
            </w:r>
          </w:p>
          <w:p w:rsidR="00E17E10" w:rsidRPr="00F94E62" w:rsidRDefault="00E17E10" w:rsidP="00842A49">
            <w:pPr>
              <w:rPr>
                <w:sz w:val="24"/>
              </w:rPr>
            </w:pPr>
            <w:r w:rsidRPr="00F94E62">
              <w:rPr>
                <w:sz w:val="24"/>
                <w:lang w:val="en"/>
              </w:rPr>
              <w:t>Average GPA:  3.60</w:t>
            </w:r>
          </w:p>
        </w:tc>
      </w:tr>
      <w:tr w:rsidR="00CD6B80" w:rsidRPr="00BD03FE" w:rsidTr="00755DFC">
        <w:trPr>
          <w:trHeight w:val="1025"/>
        </w:trPr>
        <w:tc>
          <w:tcPr>
            <w:tcW w:w="1980" w:type="dxa"/>
          </w:tcPr>
          <w:p w:rsidR="00CD6B80" w:rsidRDefault="00CD6B80" w:rsidP="00413A91">
            <w:r>
              <w:t>ACT/SAT  Requirements</w:t>
            </w:r>
          </w:p>
          <w:p w:rsidR="00CD6B80" w:rsidRPr="002D3FE2" w:rsidRDefault="002D3FE2" w:rsidP="00755DF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*Average based on 201</w:t>
            </w:r>
            <w:r w:rsidR="00755DFC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>-201</w:t>
            </w:r>
            <w:r w:rsidR="00755DFC"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 xml:space="preserve"> Admissions </w:t>
            </w:r>
          </w:p>
        </w:tc>
        <w:tc>
          <w:tcPr>
            <w:tcW w:w="4140" w:type="dxa"/>
            <w:gridSpan w:val="2"/>
          </w:tcPr>
          <w:p w:rsidR="00580871" w:rsidRPr="00334E83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18"/>
                <w:szCs w:val="22"/>
                <w:u w:val="single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/>
                <w:bCs/>
                <w:sz w:val="18"/>
                <w:szCs w:val="22"/>
                <w:u w:val="single"/>
                <w:lang w:val="en"/>
              </w:rPr>
              <w:t>ACT</w:t>
            </w:r>
          </w:p>
          <w:p w:rsidR="00CD6B80" w:rsidRPr="00580871" w:rsidRDefault="00E17E10" w:rsidP="00E17E10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Average ACT</w:t>
            </w:r>
            <w:r w:rsidR="00755DFC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23</w:t>
            </w:r>
          </w:p>
        </w:tc>
        <w:tc>
          <w:tcPr>
            <w:tcW w:w="5220" w:type="dxa"/>
          </w:tcPr>
          <w:p w:rsidR="00580871" w:rsidRPr="00334E83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18"/>
                <w:szCs w:val="22"/>
                <w:u w:val="single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/>
                <w:sz w:val="18"/>
                <w:szCs w:val="22"/>
                <w:u w:val="single"/>
                <w:lang w:val="en"/>
              </w:rPr>
              <w:t>SAT</w:t>
            </w:r>
          </w:p>
          <w:p w:rsidR="00F439DB" w:rsidRPr="00334E83" w:rsidRDefault="00755DFC" w:rsidP="00F439DB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14"/>
                <w:szCs w:val="22"/>
                <w:lang w:val="en"/>
              </w:rPr>
            </w:pPr>
            <w:r>
              <w:rPr>
                <w:rFonts w:asciiTheme="minorHAnsi" w:hAnsiTheme="minorHAnsi"/>
                <w:sz w:val="18"/>
              </w:rPr>
              <w:t>Composite Minimum:  980</w:t>
            </w:r>
          </w:p>
          <w:p w:rsidR="00650E30" w:rsidRPr="00334E83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*Avera</w:t>
            </w:r>
            <w:r w:rsidR="00650E30" w:rsidRPr="00334E83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ge Verbal Score Admitted</w:t>
            </w:r>
            <w:r w:rsidR="00842A49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:  500-599</w:t>
            </w:r>
          </w:p>
          <w:p w:rsidR="00650E30" w:rsidRPr="00F439DB" w:rsidRDefault="00650E30" w:rsidP="00842A49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 w:rsidRPr="00334E83">
              <w:rPr>
                <w:rFonts w:asciiTheme="minorHAnsi" w:hAnsiTheme="minorHAnsi"/>
                <w:bCs/>
                <w:sz w:val="18"/>
                <w:szCs w:val="22"/>
              </w:rPr>
              <w:t xml:space="preserve">*Average Math Score Admitted: </w:t>
            </w:r>
            <w:r w:rsidR="00842A49">
              <w:rPr>
                <w:rFonts w:asciiTheme="minorHAnsi" w:hAnsiTheme="minorHAnsi"/>
                <w:bCs/>
                <w:sz w:val="18"/>
                <w:szCs w:val="22"/>
              </w:rPr>
              <w:t>500-599</w:t>
            </w:r>
          </w:p>
        </w:tc>
      </w:tr>
      <w:tr w:rsidR="00413A91" w:rsidRPr="00BD03FE" w:rsidTr="002061BA">
        <w:trPr>
          <w:trHeight w:val="269"/>
        </w:trPr>
        <w:tc>
          <w:tcPr>
            <w:tcW w:w="1980" w:type="dxa"/>
          </w:tcPr>
          <w:p w:rsidR="00413A91" w:rsidRPr="00BD03FE" w:rsidRDefault="002061BA" w:rsidP="004404A5">
            <w:pPr>
              <w:rPr>
                <w:sz w:val="28"/>
              </w:rPr>
            </w:pPr>
            <w:r w:rsidRPr="002061BA">
              <w:t>AP Classes</w:t>
            </w:r>
          </w:p>
        </w:tc>
        <w:tc>
          <w:tcPr>
            <w:tcW w:w="9360" w:type="dxa"/>
            <w:gridSpan w:val="3"/>
          </w:tcPr>
          <w:p w:rsidR="00072AE3" w:rsidRPr="002061BA" w:rsidRDefault="002061BA" w:rsidP="008836C1">
            <w:pPr>
              <w:spacing w:before="100" w:beforeAutospacing="1"/>
              <w:rPr>
                <w:rFonts w:eastAsia="Times New Roman" w:cs="Times New Roman"/>
                <w:sz w:val="20"/>
                <w:szCs w:val="24"/>
              </w:rPr>
            </w:pPr>
            <w:r w:rsidRPr="002061BA">
              <w:rPr>
                <w:rFonts w:eastAsia="Times New Roman" w:cs="Times New Roman"/>
                <w:sz w:val="20"/>
                <w:szCs w:val="24"/>
              </w:rPr>
              <w:t>Check website.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D6024D" w:rsidP="0094794C">
            <w:r>
              <w:t>#</w:t>
            </w:r>
            <w:r w:rsidR="00BD03FE" w:rsidRPr="001D0134">
              <w:t xml:space="preserve">of </w:t>
            </w:r>
            <w:r w:rsidR="0094794C" w:rsidRPr="001D0134">
              <w:t>Applicants</w:t>
            </w:r>
          </w:p>
        </w:tc>
        <w:tc>
          <w:tcPr>
            <w:tcW w:w="9360" w:type="dxa"/>
            <w:gridSpan w:val="3"/>
          </w:tcPr>
          <w:p w:rsidR="00B76073" w:rsidRPr="001D0134" w:rsidRDefault="008836C1" w:rsidP="008836C1">
            <w:r>
              <w:t>*33,736</w:t>
            </w:r>
          </w:p>
        </w:tc>
      </w:tr>
      <w:tr w:rsidR="00B76073" w:rsidRPr="00BD03FE" w:rsidTr="00195050">
        <w:trPr>
          <w:trHeight w:val="265"/>
        </w:trPr>
        <w:tc>
          <w:tcPr>
            <w:tcW w:w="1980" w:type="dxa"/>
          </w:tcPr>
          <w:p w:rsidR="00B76073" w:rsidRPr="001D0134" w:rsidRDefault="00D6024D" w:rsidP="00B76073">
            <w:r>
              <w:t>#</w:t>
            </w:r>
            <w:r w:rsidR="0094794C" w:rsidRPr="001D0134">
              <w:t xml:space="preserve"> Admitted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8836C1">
            <w:r w:rsidRPr="001D0134">
              <w:t>*</w:t>
            </w:r>
            <w:r w:rsidR="008836C1">
              <w:t>17,221 (6,824 enrolled)</w:t>
            </w:r>
          </w:p>
        </w:tc>
        <w:bookmarkStart w:id="0" w:name="_GoBack"/>
        <w:bookmarkEnd w:id="0"/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8836C1">
            <w:pPr>
              <w:tabs>
                <w:tab w:val="left" w:pos="1410"/>
              </w:tabs>
            </w:pPr>
            <w:r w:rsidRPr="001D0134">
              <w:t>*</w:t>
            </w:r>
            <w:r w:rsidR="008836C1">
              <w:t>51</w:t>
            </w:r>
            <w:r w:rsidR="0076399F">
              <w:t>.0%</w:t>
            </w:r>
            <w:r w:rsidR="00E378CA" w:rsidRPr="001D0134">
              <w:tab/>
            </w:r>
          </w:p>
        </w:tc>
      </w:tr>
      <w:tr w:rsidR="003F21C7" w:rsidRPr="00BD03FE" w:rsidTr="009C6989">
        <w:trPr>
          <w:trHeight w:val="1565"/>
        </w:trPr>
        <w:tc>
          <w:tcPr>
            <w:tcW w:w="1980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600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953"/>
              <w:gridCol w:w="1413"/>
            </w:tblGrid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6399F">
                    <w:rPr>
                      <w:sz w:val="20"/>
                    </w:rPr>
                    <w:t xml:space="preserve"> and Fees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3F21C7" w:rsidP="00842A4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842A49">
                    <w:rPr>
                      <w:sz w:val="20"/>
                    </w:rPr>
                    <w:t>26,950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76399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Edu. Expenses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3F21C7" w:rsidP="00842A4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76399F">
                    <w:rPr>
                      <w:sz w:val="20"/>
                    </w:rPr>
                    <w:t>2</w:t>
                  </w:r>
                  <w:r w:rsidR="00842A49">
                    <w:rPr>
                      <w:sz w:val="20"/>
                    </w:rPr>
                    <w:t>,380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Book/Supplies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404A5" w:rsidP="00700D33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76399F">
                    <w:rPr>
                      <w:sz w:val="20"/>
                    </w:rPr>
                    <w:t>1,</w:t>
                  </w:r>
                  <w:r w:rsidR="00700D33">
                    <w:rPr>
                      <w:sz w:val="20"/>
                    </w:rPr>
                    <w:t>200</w:t>
                  </w:r>
                </w:p>
              </w:tc>
            </w:tr>
            <w:tr w:rsidR="007860F3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7860F3" w:rsidRPr="000A2E73" w:rsidRDefault="007860F3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Transportation</w:t>
                  </w:r>
                </w:p>
              </w:tc>
              <w:tc>
                <w:tcPr>
                  <w:tcW w:w="1777" w:type="dxa"/>
                </w:tcPr>
                <w:p w:rsidR="007860F3" w:rsidRDefault="007860F3" w:rsidP="00842A4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$1,</w:t>
                  </w:r>
                  <w:r w:rsidR="00842A49">
                    <w:rPr>
                      <w:sz w:val="20"/>
                    </w:rPr>
                    <w:t>736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76399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Housing and Meals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70486" w:rsidP="00842A4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842A49">
                    <w:rPr>
                      <w:sz w:val="20"/>
                    </w:rPr>
                    <w:t>9,550</w:t>
                  </w:r>
                </w:p>
              </w:tc>
            </w:tr>
            <w:tr w:rsidR="003F21C7" w:rsidRPr="000A2E73" w:rsidTr="009C6989">
              <w:trPr>
                <w:trHeight w:val="250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404A5" w:rsidP="00842A4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842A49">
                    <w:rPr>
                      <w:sz w:val="20"/>
                    </w:rPr>
                    <w:t>41,816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>This is a 201</w:t>
            </w:r>
            <w:r w:rsidR="00842A49">
              <w:rPr>
                <w:color w:val="000000"/>
                <w:sz w:val="18"/>
                <w:szCs w:val="20"/>
                <w:lang w:val="en"/>
              </w:rPr>
              <w:t>6</w:t>
            </w:r>
            <w:r w:rsidRPr="000A2E73">
              <w:rPr>
                <w:color w:val="000000"/>
                <w:sz w:val="18"/>
                <w:szCs w:val="20"/>
                <w:lang w:val="en"/>
              </w:rPr>
              <w:t>-1</w:t>
            </w:r>
            <w:r w:rsidR="00842A49">
              <w:rPr>
                <w:color w:val="000000"/>
                <w:sz w:val="18"/>
                <w:szCs w:val="20"/>
                <w:lang w:val="en"/>
              </w:rPr>
              <w:t>7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>course credits in a given semester)</w:t>
            </w:r>
          </w:p>
          <w:p w:rsidR="00075151" w:rsidRPr="00470486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 and books/supplies cost.</w:t>
            </w:r>
          </w:p>
          <w:p w:rsidR="00470486" w:rsidRPr="00075151" w:rsidRDefault="00470486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Does not include other miscellaneous expenses</w:t>
            </w:r>
          </w:p>
          <w:p w:rsidR="00700D33" w:rsidRPr="00700D33" w:rsidRDefault="00700D33" w:rsidP="00700D33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Visit:  </w:t>
            </w:r>
            <w:hyperlink r:id="rId8" w:history="1">
              <w:r w:rsidRPr="001A030D">
                <w:rPr>
                  <w:rStyle w:val="Hyperlink"/>
                  <w:sz w:val="18"/>
                  <w:szCs w:val="20"/>
                </w:rPr>
                <w:t>financialaid@ua.edu/contact/</w:t>
              </w:r>
            </w:hyperlink>
            <w:r>
              <w:rPr>
                <w:sz w:val="18"/>
                <w:szCs w:val="20"/>
              </w:rPr>
              <w:t xml:space="preserve"> for more information.</w:t>
            </w:r>
          </w:p>
          <w:p w:rsidR="00075151" w:rsidRPr="000A2E73" w:rsidRDefault="00075151" w:rsidP="00700D33">
            <w:pPr>
              <w:pStyle w:val="ListParagraph"/>
              <w:tabs>
                <w:tab w:val="left" w:pos="1410"/>
              </w:tabs>
              <w:ind w:left="387"/>
              <w:rPr>
                <w:sz w:val="20"/>
                <w:szCs w:val="20"/>
              </w:rPr>
            </w:pPr>
          </w:p>
        </w:tc>
      </w:tr>
    </w:tbl>
    <w:p w:rsidR="000F4D83" w:rsidRDefault="00BC1546" w:rsidP="000F4D8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 degree opportunities)</w:t>
      </w:r>
      <w:r w:rsidR="000F4D83">
        <w:rPr>
          <w:b/>
          <w:sz w:val="20"/>
          <w:u w:val="single"/>
        </w:rPr>
        <w:t xml:space="preserve"> </w:t>
      </w:r>
    </w:p>
    <w:p w:rsidR="00506C47" w:rsidRDefault="001E77A3" w:rsidP="000F4D83">
      <w:pPr>
        <w:spacing w:after="0"/>
        <w:rPr>
          <w:i/>
          <w:sz w:val="20"/>
        </w:rPr>
      </w:pPr>
      <w:r>
        <w:rPr>
          <w:i/>
          <w:sz w:val="20"/>
        </w:rPr>
        <w:t>For a more extensive list, please visit</w:t>
      </w:r>
      <w:r w:rsidR="000F4D83">
        <w:rPr>
          <w:i/>
          <w:sz w:val="20"/>
        </w:rPr>
        <w:t xml:space="preserve">: </w:t>
      </w:r>
      <w:hyperlink r:id="rId9" w:history="1">
        <w:r w:rsidR="000F4D83" w:rsidRPr="001A030D">
          <w:rPr>
            <w:rStyle w:val="Hyperlink"/>
            <w:i/>
            <w:sz w:val="20"/>
          </w:rPr>
          <w:t>https://www.ua.edu/catalogs/catalog10/</w:t>
        </w:r>
      </w:hyperlink>
      <w:r w:rsidR="000F4D83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="000F4D83">
        <w:rPr>
          <w:i/>
          <w:sz w:val="20"/>
        </w:rPr>
        <w:t xml:space="preserve">   </w:t>
      </w:r>
    </w:p>
    <w:p w:rsidR="00506C47" w:rsidRPr="00334E83" w:rsidRDefault="00506C47" w:rsidP="00334E83">
      <w:pPr>
        <w:spacing w:after="0" w:line="240" w:lineRule="auto"/>
        <w:rPr>
          <w:b/>
          <w:i/>
          <w:sz w:val="16"/>
          <w:szCs w:val="16"/>
        </w:rPr>
      </w:pPr>
      <w:r w:rsidRPr="00334E83">
        <w:rPr>
          <w:i/>
          <w:sz w:val="16"/>
          <w:szCs w:val="16"/>
        </w:rPr>
        <w:t xml:space="preserve">       </w:t>
      </w:r>
      <w:r w:rsidRPr="00334E83">
        <w:rPr>
          <w:b/>
          <w:i/>
          <w:sz w:val="16"/>
          <w:szCs w:val="16"/>
        </w:rPr>
        <w:t>Ethnic, Cultural &amp; Gender Studies</w:t>
      </w:r>
      <w:r w:rsidRPr="00334E83">
        <w:rPr>
          <w:i/>
          <w:sz w:val="20"/>
        </w:rPr>
        <w:t>:</w:t>
      </w:r>
      <w:r w:rsidR="000F4D83" w:rsidRPr="00334E83">
        <w:rPr>
          <w:i/>
          <w:sz w:val="20"/>
        </w:rPr>
        <w:t xml:space="preserve">            </w:t>
      </w:r>
      <w:r w:rsidRPr="00334E83">
        <w:rPr>
          <w:i/>
          <w:sz w:val="20"/>
        </w:rPr>
        <w:t xml:space="preserve">     </w:t>
      </w:r>
      <w:r w:rsidRPr="00334E83">
        <w:rPr>
          <w:b/>
          <w:i/>
          <w:sz w:val="16"/>
          <w:szCs w:val="16"/>
        </w:rPr>
        <w:t>Communicatio</w:t>
      </w:r>
      <w:r w:rsidR="005B33CB" w:rsidRPr="00334E83">
        <w:rPr>
          <w:b/>
          <w:i/>
          <w:sz w:val="16"/>
          <w:szCs w:val="16"/>
        </w:rPr>
        <w:t xml:space="preserve">n &amp; </w:t>
      </w:r>
      <w:r w:rsidRPr="00334E83">
        <w:rPr>
          <w:b/>
          <w:i/>
          <w:sz w:val="16"/>
          <w:szCs w:val="16"/>
        </w:rPr>
        <w:t xml:space="preserve">Journalism </w:t>
      </w:r>
      <w:r w:rsidR="005B33CB" w:rsidRPr="00334E83">
        <w:rPr>
          <w:b/>
          <w:i/>
          <w:sz w:val="16"/>
          <w:szCs w:val="16"/>
        </w:rPr>
        <w:t xml:space="preserve"> </w:t>
      </w:r>
    </w:p>
    <w:p w:rsidR="00BC1546" w:rsidRPr="00334E83" w:rsidRDefault="00BC1546" w:rsidP="00334E83">
      <w:pPr>
        <w:spacing w:after="0" w:line="240" w:lineRule="auto"/>
        <w:rPr>
          <w:i/>
          <w:sz w:val="20"/>
        </w:rPr>
        <w:sectPr w:rsidR="00BC1546" w:rsidRPr="00334E83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="007860F3" w:rsidRPr="00334E83" w:rsidRDefault="007860F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 xml:space="preserve">African </w:t>
      </w:r>
      <w:r w:rsidR="00506C47" w:rsidRPr="00334E83">
        <w:rPr>
          <w:color w:val="000000"/>
          <w:sz w:val="16"/>
          <w:szCs w:val="20"/>
          <w:lang w:val="en"/>
        </w:rPr>
        <w:t>American Studies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American/united /states Studies/Civilization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Latin American Studies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Women’s Studies</w:t>
      </w:r>
    </w:p>
    <w:p w:rsidR="00506C47" w:rsidRPr="00334E83" w:rsidRDefault="00506C47" w:rsidP="00334E83">
      <w:pPr>
        <w:tabs>
          <w:tab w:val="left" w:pos="1410"/>
        </w:tabs>
        <w:spacing w:after="0" w:line="240" w:lineRule="auto"/>
        <w:rPr>
          <w:b/>
          <w:color w:val="000000"/>
          <w:sz w:val="16"/>
          <w:szCs w:val="20"/>
          <w:lang w:val="en"/>
        </w:rPr>
      </w:pPr>
      <w:r w:rsidRPr="00334E83">
        <w:rPr>
          <w:b/>
          <w:color w:val="000000"/>
          <w:sz w:val="16"/>
          <w:szCs w:val="20"/>
          <w:lang w:val="en"/>
        </w:rPr>
        <w:t>Biological &amp; Biomedical Sciences</w:t>
      </w:r>
    </w:p>
    <w:p w:rsidR="007860F3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Biology/biological Sciences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Marine Biology and Biological Oceanography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Microbiology</w:t>
      </w:r>
    </w:p>
    <w:p w:rsidR="00506C47" w:rsidRPr="00334E83" w:rsidRDefault="00506C47" w:rsidP="00334E83">
      <w:pPr>
        <w:tabs>
          <w:tab w:val="left" w:pos="1410"/>
        </w:tabs>
        <w:spacing w:after="0" w:line="240" w:lineRule="auto"/>
        <w:rPr>
          <w:b/>
          <w:color w:val="000000"/>
          <w:sz w:val="16"/>
          <w:szCs w:val="20"/>
          <w:lang w:val="en"/>
        </w:rPr>
      </w:pPr>
      <w:r w:rsidRPr="00334E83">
        <w:rPr>
          <w:b/>
          <w:color w:val="000000"/>
          <w:sz w:val="16"/>
          <w:szCs w:val="20"/>
          <w:lang w:val="en"/>
        </w:rPr>
        <w:t xml:space="preserve">Business Management, Marketing &amp;Related Support 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Accounting</w:t>
      </w:r>
    </w:p>
    <w:p w:rsidR="00872D80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 xml:space="preserve">Business Administration and Management 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 xml:space="preserve">Business/Managerial Economics 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Finance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 xml:space="preserve">Management </w:t>
      </w:r>
      <w:r w:rsidR="007B0E98" w:rsidRPr="00334E83">
        <w:rPr>
          <w:color w:val="000000"/>
          <w:sz w:val="16"/>
          <w:szCs w:val="20"/>
          <w:lang w:val="en"/>
        </w:rPr>
        <w:t>Information</w:t>
      </w:r>
      <w:r w:rsidRPr="00334E83">
        <w:rPr>
          <w:color w:val="000000"/>
          <w:sz w:val="16"/>
          <w:szCs w:val="20"/>
          <w:lang w:val="en"/>
        </w:rPr>
        <w:t xml:space="preserve"> Systems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Management Science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Marketing/Marketing Management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Restaurant/Food Services Management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Taxation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Advertising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Communication Studies/Speech Journalism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Mass Communication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Communication &amp; Rhetoric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Media  Studies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Public Relations</w:t>
      </w:r>
    </w:p>
    <w:p w:rsidR="00506C47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Radio and Television</w:t>
      </w:r>
    </w:p>
    <w:p w:rsidR="00506C47" w:rsidRPr="00334E83" w:rsidRDefault="00506C47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Computer &amp; Information Sciences, Support Services</w:t>
      </w:r>
    </w:p>
    <w:p w:rsidR="00872D80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Computer and Information Sciences/support services</w:t>
      </w:r>
    </w:p>
    <w:p w:rsidR="00506C47" w:rsidRPr="00334E83" w:rsidRDefault="00506C47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Education</w:t>
      </w:r>
    </w:p>
    <w:p w:rsidR="00872D80" w:rsidRPr="00334E83" w:rsidRDefault="00506C4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Counselor Education/School Counseling and Guidance Services</w:t>
      </w:r>
    </w:p>
    <w:p w:rsidR="007B0722" w:rsidRPr="00334E83" w:rsidRDefault="007B0722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Early Childhood Education and Teaching</w:t>
      </w:r>
    </w:p>
    <w:p w:rsidR="007B0722" w:rsidRPr="00334E83" w:rsidRDefault="007B0722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Educational Leadership and Administration</w:t>
      </w:r>
    </w:p>
    <w:p w:rsidR="007B0722" w:rsidRPr="00334E83" w:rsidRDefault="007B0722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Educational Statistics and Research Methods</w:t>
      </w:r>
    </w:p>
    <w:p w:rsidR="004F1617" w:rsidRPr="00334E83" w:rsidRDefault="004F161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Education Instruction, and Curriculum Supervision</w:t>
      </w:r>
    </w:p>
    <w:p w:rsidR="004F1617" w:rsidRPr="00334E83" w:rsidRDefault="004F161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Elementary Education and Teaching</w:t>
      </w:r>
    </w:p>
    <w:p w:rsidR="004F1617" w:rsidRPr="00334E83" w:rsidRDefault="004F161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Elementary and Middle School Admin/Principal</w:t>
      </w:r>
    </w:p>
    <w:p w:rsidR="004F1617" w:rsidRPr="00334E83" w:rsidRDefault="004F161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Higher Education Administration</w:t>
      </w:r>
    </w:p>
    <w:p w:rsidR="004F1617" w:rsidRPr="00334E83" w:rsidRDefault="004F161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Music Teacher Education</w:t>
      </w:r>
    </w:p>
    <w:p w:rsidR="004F1617" w:rsidRPr="00334E83" w:rsidRDefault="004F161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Physical Education Teaching and Coaching</w:t>
      </w:r>
    </w:p>
    <w:p w:rsidR="004F1617" w:rsidRPr="00334E83" w:rsidRDefault="004F161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Secondary Educating and Teaching</w:t>
      </w:r>
    </w:p>
    <w:p w:rsidR="004F1617" w:rsidRPr="00334E83" w:rsidRDefault="004F161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 xml:space="preserve">Secondary School Admin/Principal  </w:t>
      </w:r>
    </w:p>
    <w:p w:rsidR="004F1617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Special Education and Teaching</w:t>
      </w:r>
    </w:p>
    <w:p w:rsidR="00334E83" w:rsidRPr="0003113C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Teaching ESOL</w:t>
      </w:r>
    </w:p>
    <w:p w:rsidR="005B33CB" w:rsidRPr="00334E83" w:rsidRDefault="005B33CB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Engineering</w:t>
      </w:r>
    </w:p>
    <w:p w:rsidR="00872D80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 xml:space="preserve">Aerospace, Aeronautical and Astronautically Engineering </w:t>
      </w:r>
      <w:r w:rsidR="00872D80" w:rsidRPr="00334E83">
        <w:rPr>
          <w:color w:val="000000"/>
          <w:sz w:val="16"/>
          <w:szCs w:val="20"/>
          <w:lang w:val="en"/>
        </w:rPr>
        <w:t xml:space="preserve"> </w:t>
      </w:r>
      <w:r w:rsidRPr="00334E83">
        <w:rPr>
          <w:color w:val="000000"/>
          <w:sz w:val="16"/>
          <w:szCs w:val="20"/>
          <w:lang w:val="en"/>
        </w:rPr>
        <w:t xml:space="preserve"> </w:t>
      </w:r>
    </w:p>
    <w:p w:rsidR="00872D80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Architectural Engineering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Chemical Engineering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Civil Engineering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Construction Engineering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Electrical Communications Engineering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Engineering Mechanics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Environmental Health Engineering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Materials Engineering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Metallurgical Engineering</w:t>
      </w:r>
    </w:p>
    <w:p w:rsidR="00872D80" w:rsidRPr="00334E83" w:rsidRDefault="005B33CB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English Language, Literature &amp; Letters</w:t>
      </w:r>
    </w:p>
    <w:p w:rsidR="00872D80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Creative Writing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English Language and Literature</w:t>
      </w:r>
    </w:p>
    <w:p w:rsidR="005B33CB" w:rsidRPr="00334E83" w:rsidRDefault="005B33CB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 xml:space="preserve">Family, Consumer, Human Resources </w:t>
      </w:r>
    </w:p>
    <w:p w:rsidR="00872D80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Apparel and Textiles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Family Resource Management Studies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Family and Consumer Sciences/Human Sciences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 xml:space="preserve">Human Development and Family Studies. </w:t>
      </w:r>
    </w:p>
    <w:p w:rsidR="005B33CB" w:rsidRPr="00334E83" w:rsidRDefault="005B33CB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 xml:space="preserve">Foreign Language, Literatures and Linguistics </w:t>
      </w:r>
    </w:p>
    <w:p w:rsidR="005B33CB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German Language and Literature</w:t>
      </w:r>
    </w:p>
    <w:p w:rsidR="007B0E98" w:rsidRPr="00334E83" w:rsidRDefault="005B33CB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 xml:space="preserve">Romance Languages </w:t>
      </w:r>
      <w:r w:rsidR="007B0E98" w:rsidRPr="00334E83">
        <w:rPr>
          <w:color w:val="000000"/>
          <w:sz w:val="16"/>
          <w:szCs w:val="20"/>
          <w:lang w:val="en"/>
        </w:rPr>
        <w:t>Literatures and Linguistics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 xml:space="preserve">Spanish Language and Literature </w:t>
      </w:r>
    </w:p>
    <w:p w:rsidR="00872D80" w:rsidRPr="00334E83" w:rsidRDefault="007B0E98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Health Professions &amp; Related Clinical Sciences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Athletic Training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Audiology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Dietetics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Hospital and Healthcare Facilities Administration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Mental Health Counseling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Nursing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Speech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Vocational Rehabilitation Counseling</w:t>
      </w:r>
    </w:p>
    <w:p w:rsidR="007B0E98" w:rsidRPr="00334E83" w:rsidRDefault="007B0E98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History</w:t>
      </w:r>
    </w:p>
    <w:p w:rsidR="00872D80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General History</w:t>
      </w:r>
    </w:p>
    <w:p w:rsidR="007B0E98" w:rsidRPr="00334E83" w:rsidRDefault="007B0E98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Library Science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 xml:space="preserve">Library Science Librarianship  </w:t>
      </w:r>
    </w:p>
    <w:p w:rsidR="00872D80" w:rsidRPr="00334E83" w:rsidRDefault="007B0E98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Mathematics &amp;Statistics</w:t>
      </w:r>
    </w:p>
    <w:p w:rsidR="00872D80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Applied Mathematics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Mathematical Statistics and Probability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Mathematics, General</w:t>
      </w:r>
    </w:p>
    <w:p w:rsidR="007B0E98" w:rsidRPr="00334E83" w:rsidRDefault="007B0E98" w:rsidP="00334E83">
      <w:pPr>
        <w:tabs>
          <w:tab w:val="left" w:pos="1410"/>
        </w:tabs>
        <w:spacing w:after="0" w:line="240" w:lineRule="auto"/>
        <w:rPr>
          <w:b/>
          <w:color w:val="000000"/>
          <w:sz w:val="16"/>
          <w:szCs w:val="20"/>
          <w:lang w:val="en"/>
        </w:rPr>
      </w:pPr>
      <w:r w:rsidRPr="00334E83">
        <w:rPr>
          <w:b/>
          <w:color w:val="000000"/>
          <w:sz w:val="16"/>
          <w:szCs w:val="20"/>
          <w:lang w:val="en"/>
        </w:rPr>
        <w:t>Multi &amp; Interdisciplinary Studies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Multi/Interdisciplinary Studies</w:t>
      </w:r>
    </w:p>
    <w:p w:rsidR="00872D80" w:rsidRPr="00334E83" w:rsidRDefault="007B0E98" w:rsidP="00334E83">
      <w:pPr>
        <w:tabs>
          <w:tab w:val="left" w:pos="1410"/>
        </w:tabs>
        <w:spacing w:after="0" w:line="240" w:lineRule="auto"/>
        <w:rPr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Natural Resources &amp; Conservation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Environmental Science</w:t>
      </w:r>
    </w:p>
    <w:p w:rsidR="00872D80" w:rsidRPr="00334E83" w:rsidRDefault="007B0E98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Parks, Recreation &amp; Fitness Studies</w:t>
      </w:r>
    </w:p>
    <w:p w:rsidR="00872D80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Kinesiology and Exercise Science</w:t>
      </w:r>
    </w:p>
    <w:p w:rsidR="007B0E98" w:rsidRPr="00334E83" w:rsidRDefault="007B0E98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 xml:space="preserve">Philosophy &amp; Religious Studies 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Philosophy</w:t>
      </w:r>
    </w:p>
    <w:p w:rsidR="007B0E98" w:rsidRPr="00334E83" w:rsidRDefault="007B0E98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Religion/Religious Studies</w:t>
      </w:r>
    </w:p>
    <w:p w:rsidR="00872D80" w:rsidRPr="00334E83" w:rsidRDefault="007B0E98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Physical Sciences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Chemistry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Geology/Earth Science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Physics</w:t>
      </w:r>
    </w:p>
    <w:p w:rsidR="00334E83" w:rsidRPr="00334E83" w:rsidRDefault="00334E83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Psychology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Educational Psychology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Psychology</w:t>
      </w:r>
    </w:p>
    <w:p w:rsidR="0003113C" w:rsidRPr="0003113C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School Psychology</w:t>
      </w:r>
    </w:p>
    <w:p w:rsidR="00334E83" w:rsidRPr="00334E83" w:rsidRDefault="00334E83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Public Administration &amp; Social Services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Public Administration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Social Work</w:t>
      </w:r>
    </w:p>
    <w:p w:rsidR="00872D80" w:rsidRPr="00334E83" w:rsidRDefault="00334E83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Security &amp; Protective Services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Criminal Justice/Safety Studies</w:t>
      </w:r>
    </w:p>
    <w:p w:rsidR="00334E83" w:rsidRPr="00334E83" w:rsidRDefault="00334E83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Social Sciences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Anthropology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Geography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International Relations and Affairs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Political Science and Government</w:t>
      </w:r>
    </w:p>
    <w:p w:rsidR="0003113C" w:rsidRDefault="00334E83" w:rsidP="0003113C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Sociology</w:t>
      </w:r>
      <w:r w:rsidR="0003113C">
        <w:rPr>
          <w:color w:val="000000"/>
          <w:sz w:val="16"/>
          <w:szCs w:val="20"/>
          <w:lang w:val="en"/>
        </w:rPr>
        <w:t xml:space="preserve">                                                             </w:t>
      </w:r>
    </w:p>
    <w:p w:rsidR="0003113C" w:rsidRDefault="0003113C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</w:p>
    <w:p w:rsidR="00334E83" w:rsidRPr="00334E83" w:rsidRDefault="00334E83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lang w:val="en"/>
        </w:rPr>
      </w:pPr>
      <w:r w:rsidRPr="00334E83">
        <w:rPr>
          <w:b/>
          <w:i/>
          <w:color w:val="000000"/>
          <w:sz w:val="16"/>
          <w:szCs w:val="20"/>
          <w:lang w:val="en"/>
        </w:rPr>
        <w:t>Visual and Performing Arts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Art History, Criticism and Conservation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334E83">
        <w:rPr>
          <w:color w:val="000000"/>
          <w:sz w:val="16"/>
          <w:szCs w:val="20"/>
          <w:lang w:val="en"/>
        </w:rPr>
        <w:t>Dance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  <w:sectPr w:rsidR="00334E83" w:rsidRPr="00334E83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334E83">
        <w:rPr>
          <w:color w:val="000000"/>
          <w:sz w:val="16"/>
          <w:szCs w:val="20"/>
          <w:lang w:val="en"/>
        </w:rPr>
        <w:t>Drama and Dramatics/Theater Arts</w:t>
      </w:r>
    </w:p>
    <w:p w:rsidR="006F5190" w:rsidRPr="00334E83" w:rsidRDefault="006F5190" w:rsidP="006F5190">
      <w:pPr>
        <w:pStyle w:val="Footer"/>
        <w:rPr>
          <w:rFonts w:ascii="Arial" w:hAnsi="Arial" w:cs="Arial"/>
          <w:b/>
          <w:color w:val="222222"/>
          <w:sz w:val="12"/>
          <w:szCs w:val="18"/>
          <w:u w:val="single"/>
        </w:rPr>
      </w:pPr>
      <w:r w:rsidRPr="00334E83">
        <w:rPr>
          <w:rFonts w:ascii="Arial" w:hAnsi="Arial" w:cs="Arial"/>
          <w:b/>
          <w:color w:val="222222"/>
          <w:sz w:val="12"/>
          <w:szCs w:val="18"/>
          <w:u w:val="single"/>
        </w:rPr>
        <w:t>Key:</w:t>
      </w:r>
    </w:p>
    <w:p w:rsidR="001D0134" w:rsidRPr="00334E83" w:rsidRDefault="006F5190" w:rsidP="00F439DB">
      <w:pPr>
        <w:pStyle w:val="Footer"/>
        <w:rPr>
          <w:sz w:val="16"/>
        </w:rPr>
      </w:pPr>
      <w:r w:rsidRPr="00334E83">
        <w:rPr>
          <w:rFonts w:ascii="Arial" w:hAnsi="Arial" w:cs="Arial"/>
          <w:color w:val="222222"/>
          <w:sz w:val="12"/>
          <w:szCs w:val="18"/>
        </w:rPr>
        <w:t>*</w:t>
      </w:r>
      <w:r w:rsidRPr="00334E83">
        <w:rPr>
          <w:sz w:val="16"/>
        </w:rPr>
        <w:t xml:space="preserve"> Statistics calculated and provided by</w:t>
      </w:r>
      <w:r w:rsidR="00842A49">
        <w:rPr>
          <w:sz w:val="16"/>
        </w:rPr>
        <w:t xml:space="preserve"> Parchment.com based on the 2016-2017</w:t>
      </w:r>
      <w:r w:rsidRPr="00334E83">
        <w:rPr>
          <w:sz w:val="16"/>
        </w:rPr>
        <w:t xml:space="preserve"> Application Year</w:t>
      </w:r>
    </w:p>
    <w:p w:rsidR="00D60602" w:rsidRPr="00334E83" w:rsidRDefault="00F439DB" w:rsidP="00D020AD">
      <w:pPr>
        <w:pStyle w:val="Footer"/>
        <w:rPr>
          <w:color w:val="4F81BD" w:themeColor="accent1"/>
          <w:sz w:val="16"/>
        </w:rPr>
      </w:pPr>
      <w:r w:rsidRPr="00334E83">
        <w:rPr>
          <w:sz w:val="16"/>
        </w:rPr>
        <w:t xml:space="preserve">**Statistics and statements taken directly from </w:t>
      </w:r>
      <w:r w:rsidR="000F4D83" w:rsidRPr="00334E83">
        <w:rPr>
          <w:sz w:val="16"/>
        </w:rPr>
        <w:t xml:space="preserve">University of </w:t>
      </w:r>
      <w:r w:rsidR="00231E1C">
        <w:rPr>
          <w:sz w:val="16"/>
        </w:rPr>
        <w:t xml:space="preserve">South </w:t>
      </w:r>
      <w:r w:rsidR="000F4D83" w:rsidRPr="00334E83">
        <w:rPr>
          <w:sz w:val="16"/>
        </w:rPr>
        <w:t>Alabama</w:t>
      </w:r>
      <w:r w:rsidRPr="00334E83">
        <w:rPr>
          <w:sz w:val="16"/>
        </w:rPr>
        <w:t xml:space="preserve"> admissions website</w:t>
      </w:r>
      <w:r w:rsidR="000F4D83" w:rsidRPr="00334E83">
        <w:rPr>
          <w:sz w:val="16"/>
        </w:rPr>
        <w:t xml:space="preserve">:  </w:t>
      </w:r>
      <w:hyperlink r:id="rId10" w:history="1">
        <w:r w:rsidR="000F4D83" w:rsidRPr="00334E83">
          <w:rPr>
            <w:rStyle w:val="Hyperlink"/>
            <w:sz w:val="16"/>
          </w:rPr>
          <w:t>http://www.ua.edu/aboutua.html</w:t>
        </w:r>
      </w:hyperlink>
      <w:r w:rsidR="000F4D83" w:rsidRPr="00334E83">
        <w:rPr>
          <w:sz w:val="16"/>
        </w:rPr>
        <w:t xml:space="preserve">                 </w:t>
      </w:r>
    </w:p>
    <w:p w:rsidR="000F4D83" w:rsidRPr="00334E83" w:rsidRDefault="000F4D83" w:rsidP="00D020AD">
      <w:pPr>
        <w:pStyle w:val="Footer"/>
        <w:rPr>
          <w:sz w:val="16"/>
        </w:rPr>
      </w:pPr>
    </w:p>
    <w:p w:rsidR="006F5190" w:rsidRPr="0003113C" w:rsidRDefault="00BD03FE" w:rsidP="001D0134">
      <w:pPr>
        <w:pStyle w:val="Footer"/>
        <w:rPr>
          <w:sz w:val="18"/>
        </w:rPr>
      </w:pPr>
      <w:r w:rsidRPr="0003113C">
        <w:rPr>
          <w:b/>
          <w:sz w:val="14"/>
        </w:rPr>
        <w:lastRenderedPageBreak/>
        <w:t xml:space="preserve">Precautionary Statement:  </w:t>
      </w:r>
      <w:r w:rsidRPr="0003113C">
        <w:rPr>
          <w:sz w:val="14"/>
        </w:rPr>
        <w:t>Though the Grayson High School College and Career Center aims to provide accurate and up to date college admissions information, we understand that</w:t>
      </w:r>
      <w:r w:rsidR="00050693" w:rsidRPr="0003113C">
        <w:rPr>
          <w:sz w:val="14"/>
        </w:rPr>
        <w:t xml:space="preserve"> the presented</w:t>
      </w:r>
      <w:r w:rsidRPr="0003113C">
        <w:rPr>
          <w:sz w:val="14"/>
        </w:rPr>
        <w:t xml:space="preserve"> numerical figures and </w:t>
      </w:r>
      <w:r w:rsidR="00050693" w:rsidRPr="0003113C">
        <w:rPr>
          <w:sz w:val="14"/>
        </w:rPr>
        <w:t>guidance statements obtained from college and universities and other unaffiliated resources are subject to change, and are solely a reflection of past admittance.  Therefore, we</w:t>
      </w:r>
      <w:r w:rsidR="006F5190" w:rsidRPr="0003113C">
        <w:rPr>
          <w:sz w:val="14"/>
        </w:rPr>
        <w:t xml:space="preserve"> strongly</w:t>
      </w:r>
      <w:r w:rsidR="00050693" w:rsidRPr="0003113C">
        <w:rPr>
          <w:sz w:val="14"/>
        </w:rPr>
        <w:t xml:space="preserve"> encourage you to take a proactive approach to your academic future by conducting further personal research in determining </w:t>
      </w:r>
      <w:r w:rsidR="006F5190" w:rsidRPr="0003113C">
        <w:rPr>
          <w:sz w:val="14"/>
        </w:rPr>
        <w:t>your next step.</w:t>
      </w:r>
    </w:p>
    <w:p w:rsidR="006F5190" w:rsidRPr="00BD03FE" w:rsidRDefault="006F5190" w:rsidP="00BC1546">
      <w:pPr>
        <w:spacing w:after="0"/>
        <w:rPr>
          <w:sz w:val="20"/>
        </w:rPr>
      </w:pPr>
    </w:p>
    <w:sectPr w:rsidR="006F5190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C8" w:rsidRDefault="00BC39C8" w:rsidP="001F448A">
      <w:pPr>
        <w:spacing w:after="0" w:line="240" w:lineRule="auto"/>
      </w:pPr>
      <w:r>
        <w:separator/>
      </w:r>
    </w:p>
  </w:endnote>
  <w:endnote w:type="continuationSeparator" w:id="0">
    <w:p w:rsidR="00BC39C8" w:rsidRDefault="00BC39C8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C8" w:rsidRDefault="00BC39C8" w:rsidP="001F448A">
      <w:pPr>
        <w:spacing w:after="0" w:line="240" w:lineRule="auto"/>
      </w:pPr>
      <w:r>
        <w:separator/>
      </w:r>
    </w:p>
  </w:footnote>
  <w:footnote w:type="continuationSeparator" w:id="0">
    <w:p w:rsidR="00BC39C8" w:rsidRDefault="00BC39C8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BC2EE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3"/>
    <w:rsid w:val="0003113C"/>
    <w:rsid w:val="00050693"/>
    <w:rsid w:val="000619D6"/>
    <w:rsid w:val="0006272E"/>
    <w:rsid w:val="00067C8E"/>
    <w:rsid w:val="00072AE3"/>
    <w:rsid w:val="00075151"/>
    <w:rsid w:val="000A2E73"/>
    <w:rsid w:val="000A408A"/>
    <w:rsid w:val="000A5F94"/>
    <w:rsid w:val="000F4D83"/>
    <w:rsid w:val="001238E5"/>
    <w:rsid w:val="00195050"/>
    <w:rsid w:val="001D0134"/>
    <w:rsid w:val="001E1184"/>
    <w:rsid w:val="001E3726"/>
    <w:rsid w:val="001E77A3"/>
    <w:rsid w:val="001F448A"/>
    <w:rsid w:val="002061BA"/>
    <w:rsid w:val="00231E1C"/>
    <w:rsid w:val="0026365E"/>
    <w:rsid w:val="002D3FE2"/>
    <w:rsid w:val="00334E83"/>
    <w:rsid w:val="003F21C7"/>
    <w:rsid w:val="00413A91"/>
    <w:rsid w:val="004242B2"/>
    <w:rsid w:val="004404A5"/>
    <w:rsid w:val="00470486"/>
    <w:rsid w:val="004D226E"/>
    <w:rsid w:val="004F1617"/>
    <w:rsid w:val="00506C47"/>
    <w:rsid w:val="00572236"/>
    <w:rsid w:val="00576107"/>
    <w:rsid w:val="00580871"/>
    <w:rsid w:val="005A53B5"/>
    <w:rsid w:val="005B33CB"/>
    <w:rsid w:val="005B7565"/>
    <w:rsid w:val="00650E30"/>
    <w:rsid w:val="00661139"/>
    <w:rsid w:val="006A659A"/>
    <w:rsid w:val="006F5190"/>
    <w:rsid w:val="00700D33"/>
    <w:rsid w:val="00703C94"/>
    <w:rsid w:val="00755DFC"/>
    <w:rsid w:val="0076399F"/>
    <w:rsid w:val="007860F3"/>
    <w:rsid w:val="007B0722"/>
    <w:rsid w:val="007B0E98"/>
    <w:rsid w:val="007C5A36"/>
    <w:rsid w:val="007F37BA"/>
    <w:rsid w:val="008310DD"/>
    <w:rsid w:val="00842070"/>
    <w:rsid w:val="00842A49"/>
    <w:rsid w:val="00872D80"/>
    <w:rsid w:val="008836C1"/>
    <w:rsid w:val="00891ECC"/>
    <w:rsid w:val="009110B2"/>
    <w:rsid w:val="0094794C"/>
    <w:rsid w:val="009C6989"/>
    <w:rsid w:val="00A241E0"/>
    <w:rsid w:val="00AD4ADB"/>
    <w:rsid w:val="00B01298"/>
    <w:rsid w:val="00B76073"/>
    <w:rsid w:val="00B83CAF"/>
    <w:rsid w:val="00BC1546"/>
    <w:rsid w:val="00BC39C8"/>
    <w:rsid w:val="00BD03FE"/>
    <w:rsid w:val="00C14B3E"/>
    <w:rsid w:val="00C9284A"/>
    <w:rsid w:val="00CC563C"/>
    <w:rsid w:val="00CD11DC"/>
    <w:rsid w:val="00CD6B80"/>
    <w:rsid w:val="00CF42A9"/>
    <w:rsid w:val="00D020AD"/>
    <w:rsid w:val="00D02ECD"/>
    <w:rsid w:val="00D56A09"/>
    <w:rsid w:val="00D6024D"/>
    <w:rsid w:val="00D60602"/>
    <w:rsid w:val="00D74058"/>
    <w:rsid w:val="00E033EA"/>
    <w:rsid w:val="00E17E10"/>
    <w:rsid w:val="00E378CA"/>
    <w:rsid w:val="00E858E8"/>
    <w:rsid w:val="00EB0816"/>
    <w:rsid w:val="00ED768A"/>
    <w:rsid w:val="00EE6159"/>
    <w:rsid w:val="00F439DB"/>
    <w:rsid w:val="00F94E62"/>
    <w:rsid w:val="00FA01B3"/>
    <w:rsid w:val="00FA10A9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084BE"/>
  <w15:docId w15:val="{2E24CFFD-F33D-489C-B096-5D8C512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id@ua.edu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a.edu/aboutu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.edu/catalogs/catalog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2285-5643-4E69-87A5-94E5F4DB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Lake, Sondra</cp:lastModifiedBy>
  <cp:revision>8</cp:revision>
  <cp:lastPrinted>2015-07-23T20:16:00Z</cp:lastPrinted>
  <dcterms:created xsi:type="dcterms:W3CDTF">2017-09-06T18:27:00Z</dcterms:created>
  <dcterms:modified xsi:type="dcterms:W3CDTF">2019-08-26T18:47:00Z</dcterms:modified>
</cp:coreProperties>
</file>